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caps w:val="0"/>
          <w:color w:val="auto"/>
          <w:spacing w:val="0"/>
          <w:kern w:val="0"/>
          <w:sz w:val="20"/>
          <w:szCs w:val="20"/>
          <w:lang w:val="de-AT"/>
          <w14:ligatures w14:val="none"/>
        </w:rPr>
        <w:id w:val="1949882721"/>
        <w:docPartObj>
          <w:docPartGallery w:val="Cover Pages"/>
          <w:docPartUnique/>
        </w:docPartObj>
      </w:sdtPr>
      <w:sdtEndPr/>
      <w:sdtContent>
        <w:p w14:paraId="29D769F2" w14:textId="77777777" w:rsidR="000E4C08" w:rsidRPr="00D41EE5" w:rsidRDefault="000E4C08" w:rsidP="00C25513">
          <w:pPr>
            <w:pStyle w:val="CE-MEGA"/>
            <w:rPr>
              <w:b/>
              <w:bCs/>
              <w:iCs/>
              <w:caps w:val="0"/>
              <w:noProof/>
              <w:color w:val="4D4D4E" w:themeColor="text2"/>
              <w:spacing w:val="0"/>
              <w:kern w:val="0"/>
              <w:sz w:val="18"/>
              <w:szCs w:val="18"/>
              <w:lang w:val="de-AT" w:eastAsia="de-AT"/>
              <w14:ligatures w14:val="none"/>
            </w:rPr>
          </w:pPr>
        </w:p>
        <w:p w14:paraId="48083A36" w14:textId="3BE418EA" w:rsidR="000E4C08" w:rsidRDefault="00937846" w:rsidP="001168B5">
          <w:pPr>
            <w:pStyle w:val="CE-MEGA"/>
            <w:spacing w:line="240" w:lineRule="auto"/>
          </w:pPr>
          <w:r>
            <w:t>Control checklist</w:t>
          </w:r>
          <w:r w:rsidR="001168B5" w:rsidRPr="001168B5">
            <w:t xml:space="preserve"> </w:t>
          </w:r>
          <w:r w:rsidR="001168B5">
            <w:br/>
          </w:r>
          <w:r w:rsidR="001168B5" w:rsidRPr="00793398">
            <w:rPr>
              <w:caps w:val="0"/>
              <w:sz w:val="36"/>
            </w:rPr>
            <w:t>Version 2 (09.2016)</w:t>
          </w:r>
        </w:p>
        <w:p w14:paraId="7EAE0686" w14:textId="77777777" w:rsidR="000E4C08" w:rsidRDefault="000E4C08" w:rsidP="00D41EE5">
          <w:pPr>
            <w:pStyle w:val="CE-Head2"/>
            <w:rPr>
              <w:lang w:val="en-GB"/>
            </w:rPr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28127A" wp14:editId="2E59AB30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172226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7795C09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13.55pt" to="46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" strokecolor="#7e93a5 [3214]" strokeweight="1.5pt">
                    <v:stroke endcap="round"/>
                  </v:line>
                </w:pict>
              </mc:Fallback>
            </mc:AlternateContent>
          </w:r>
        </w:p>
        <w:p w14:paraId="753D4BDF" w14:textId="0DDE87F8" w:rsidR="000E4C08" w:rsidRPr="003844EE" w:rsidRDefault="001247CD" w:rsidP="001A6A77">
          <w:pPr>
            <w:pStyle w:val="CE-Head1"/>
            <w:rPr>
              <w:lang w:val="en-GB"/>
            </w:rPr>
          </w:pPr>
          <w:r>
            <w:rPr>
              <w:lang w:val="en-GB"/>
            </w:rPr>
            <w:t>Section 5</w:t>
          </w:r>
          <w:r w:rsidRPr="001247CD">
            <w:rPr>
              <w:lang w:val="en-GB"/>
            </w:rPr>
            <w:t xml:space="preserve"> Compliance with procurement rules</w:t>
          </w:r>
        </w:p>
        <w:p w14:paraId="1EF16D26" w14:textId="01FF4D4E" w:rsidR="00937846" w:rsidRPr="003B3F09" w:rsidRDefault="000E4C08" w:rsidP="003B3F09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09143F" wp14:editId="145A9D7D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62865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3E08CA8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4.95pt" to="46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" strokecolor="#7e93a5 [3214]" strokeweight="1.5pt">
                    <v:stroke endcap="round"/>
                  </v:line>
                </w:pict>
              </mc:Fallback>
            </mc:AlternateContent>
          </w:r>
          <w:r w:rsidRPr="00D41EE5">
            <w:rPr>
              <w:lang w:val="en-GB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bookmarkStart w:id="1" w:name="_Toc289268912" w:displacedByCustomXml="prev"/>
    <w:bookmarkEnd w:id="1" w:displacedByCustomXml="prev"/>
    <w:bookmarkStart w:id="2" w:name="_Toc288651642" w:displacedByCustomXml="prev"/>
    <w:bookmarkEnd w:id="2" w:displacedByCustomXml="prev"/>
    <w:p w14:paraId="79335D66" w14:textId="77777777" w:rsidR="00933448" w:rsidRDefault="00933448" w:rsidP="00875CCB">
      <w:pPr>
        <w:pStyle w:val="CE-Head2"/>
        <w:rPr>
          <w:rFonts w:eastAsia="Cambria"/>
          <w:lang w:val="en-GB"/>
        </w:rPr>
      </w:pPr>
      <w:bookmarkStart w:id="3" w:name="_Toc289268929"/>
      <w:bookmarkStart w:id="4" w:name="_Toc319407453"/>
    </w:p>
    <w:p w14:paraId="451D977C" w14:textId="77777777" w:rsidR="00937846" w:rsidRPr="00937846" w:rsidRDefault="00937846" w:rsidP="00875CCB">
      <w:pPr>
        <w:pStyle w:val="CE-Head2"/>
        <w:rPr>
          <w:rFonts w:eastAsia="Cambria"/>
          <w:lang w:val="en-GB"/>
        </w:rPr>
      </w:pPr>
      <w:r w:rsidRPr="00937846">
        <w:rPr>
          <w:rFonts w:eastAsia="Cambria"/>
          <w:lang w:val="en-GB"/>
        </w:rPr>
        <w:t>5. Compliance with procurement rules</w:t>
      </w:r>
    </w:p>
    <w:bookmarkEnd w:id="3"/>
    <w:bookmarkEnd w:id="4"/>
    <w:p w14:paraId="1B494A90" w14:textId="77777777" w:rsidR="00937846" w:rsidRPr="00684BA6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color w:val="0C0C0C" w:themeColor="text1"/>
          <w:sz w:val="18"/>
          <w:szCs w:val="18"/>
          <w:shd w:val="clear" w:color="auto" w:fill="BFBFBF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This section is repeated (duplicated) for each procurement procedure</w:t>
      </w:r>
      <w:r w:rsidRPr="00684BA6">
        <w:rPr>
          <w:rFonts w:ascii="Trebuchet MS" w:eastAsia="Cambria" w:hAnsi="Trebuchet MS"/>
          <w:color w:val="0C0C0C" w:themeColor="text1"/>
          <w:sz w:val="18"/>
          <w:szCs w:val="18"/>
          <w:lang w:val="en-GB"/>
        </w:rPr>
        <w:t xml:space="preserve"> (button: ‘add procurement’). </w:t>
      </w:r>
    </w:p>
    <w:p w14:paraId="65BE39F9" w14:textId="77777777" w:rsidR="00937846" w:rsidRPr="00684BA6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The applicability of the procurement rules depends, among others, on the legal status of the awarding institution. For further information please see chapter C.1.5.1 of the Implementation Manual.</w:t>
      </w:r>
    </w:p>
    <w:p w14:paraId="56205673" w14:textId="58EBAECB" w:rsidR="00CB6F3A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For contracting amounts below EUR 5.000 (excl. VAT</w:t>
      </w:r>
      <w:r w:rsidR="00C176F7" w:rsidRPr="00C176F7">
        <w:rPr>
          <w:rFonts w:eastAsia="Cambria"/>
          <w:lang w:val="en-GB"/>
        </w:rPr>
        <w:t xml:space="preserve"> </w:t>
      </w:r>
      <w:r w:rsidR="004B10A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- unless </w:t>
      </w:r>
      <w:r w:rsidR="00C176F7" w:rsidRPr="00C176F7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the threshold set by the applicable national rules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</w:t>
      </w:r>
      <w:r w:rsidR="004B10A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is stricter) 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section 5.a is to be filled once for all the contracts</w:t>
      </w:r>
      <w:r w:rsidR="00226DCD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reported in the period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.</w:t>
      </w:r>
      <w:r w:rsidR="00C176F7" w:rsidRPr="00C176F7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</w:t>
      </w:r>
      <w:r w:rsidR="00C176F7"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This section is applicable to all types of beneficiaries</w:t>
      </w:r>
    </w:p>
    <w:p w14:paraId="4DC2E01F" w14:textId="1D48D399" w:rsidR="00937846" w:rsidRPr="00684BA6" w:rsidRDefault="00CB6F3A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</w:pPr>
      <w:r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For contracting amounts</w:t>
      </w:r>
      <w:r w:rsidR="00937846"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between EUR 5.000 (excl. VAT) and the threshold set by the applicable EU and national rules only section 5.</w:t>
      </w:r>
      <w:r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b</w:t>
      </w:r>
      <w:r w:rsidR="00937846"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is to be filled in. This section is applicable to all types of beneficiaries.</w:t>
      </w:r>
    </w:p>
    <w:p w14:paraId="481CD6DC" w14:textId="379DC30E" w:rsidR="00937846" w:rsidRPr="00684BA6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For contracting amounts above the threshold set by the applicable EU or national rules either section 5.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c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or section 5.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d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has to be filled in</w:t>
      </w:r>
      <w:r w:rsidR="005E014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: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Section 5.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c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is to be filled in if the beneficiary falls under the scope of application of the public procurement laws and Section 5.</w:t>
      </w:r>
      <w:r w:rsidR="00CB6F3A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d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is to be filled in </w:t>
      </w:r>
      <w:r w:rsidR="005E014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if 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the beneficiary does not fall under the scope of application of the public procurement laws.</w:t>
      </w:r>
    </w:p>
    <w:p w14:paraId="156B8859" w14:textId="77777777" w:rsidR="00937846" w:rsidRPr="00684BA6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In case public procurement procedures were already checked during previous reporting periods, the national controller is to include a comment accordingly. In case of a change in the contract, the section has to be filled in again.</w:t>
      </w:r>
    </w:p>
    <w:p w14:paraId="595A6A50" w14:textId="3A50C594" w:rsidR="00937846" w:rsidRPr="00937846" w:rsidRDefault="00937846" w:rsidP="00684BA6">
      <w:pPr>
        <w:shd w:val="clear" w:color="auto" w:fill="E8EEEF" w:themeFill="accent2" w:themeFillTint="33"/>
        <w:spacing w:before="0" w:after="120" w:line="240" w:lineRule="auto"/>
        <w:ind w:left="0" w:right="0"/>
        <w:rPr>
          <w:rFonts w:ascii="Trebuchet MS" w:eastAsia="Cambria" w:hAnsi="Trebuchet MS" w:cs="Arial"/>
          <w:b/>
          <w:bCs/>
          <w:szCs w:val="28"/>
          <w:lang w:val="en-GB"/>
        </w:rPr>
      </w:pP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Any deductions necessary </w:t>
      </w:r>
      <w:r w:rsidR="004B10A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following infringement of procurement rules 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are to be </w:t>
      </w:r>
      <w:r w:rsidR="003E2F2B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reported</w:t>
      </w:r>
      <w:r w:rsidR="003E2F2B"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under the respective budget lines</w:t>
      </w:r>
      <w:r w:rsidR="004B10A3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 xml:space="preserve"> in this checklist</w:t>
      </w:r>
      <w:r w:rsidRPr="00684BA6">
        <w:rPr>
          <w:rFonts w:ascii="Trebuchet MS" w:eastAsia="Cambria" w:hAnsi="Trebuchet MS"/>
          <w:b/>
          <w:color w:val="0C0C0C" w:themeColor="text1"/>
          <w:sz w:val="18"/>
          <w:szCs w:val="18"/>
          <w:lang w:val="en-GB"/>
        </w:rPr>
        <w:t>.</w:t>
      </w:r>
      <w:r w:rsidRPr="00937846">
        <w:rPr>
          <w:rFonts w:ascii="Trebuchet MS" w:eastAsia="Cambria" w:hAnsi="Trebuchet MS" w:cs="Arial"/>
          <w:b/>
          <w:bCs/>
          <w:szCs w:val="28"/>
          <w:lang w:val="en-GB"/>
        </w:rPr>
        <w:tab/>
      </w:r>
    </w:p>
    <w:p w14:paraId="42930A51" w14:textId="77777777" w:rsidR="00933448" w:rsidRDefault="00933448" w:rsidP="00875CCB">
      <w:pPr>
        <w:pStyle w:val="CE-StandardText"/>
        <w:rPr>
          <w:rFonts w:eastAsia="Cambria"/>
        </w:rPr>
      </w:pPr>
    </w:p>
    <w:p w14:paraId="1DFF8D6F" w14:textId="77777777" w:rsidR="00933448" w:rsidRDefault="00933448" w:rsidP="00CB6F3A">
      <w:pPr>
        <w:pStyle w:val="CE-Head3"/>
        <w:rPr>
          <w:rFonts w:eastAsia="Cambria"/>
        </w:rPr>
      </w:pPr>
    </w:p>
    <w:p w14:paraId="69BA2B39" w14:textId="7D4D857F" w:rsidR="00715AC3" w:rsidRDefault="00CB6F3A" w:rsidP="00CB6F3A">
      <w:pPr>
        <w:pStyle w:val="CE-Head3"/>
        <w:rPr>
          <w:rFonts w:eastAsia="Cambria"/>
        </w:rPr>
      </w:pPr>
      <w:proofErr w:type="gramStart"/>
      <w:r>
        <w:rPr>
          <w:rFonts w:eastAsia="Cambria"/>
        </w:rPr>
        <w:t>5.a</w:t>
      </w:r>
      <w:proofErr w:type="gramEnd"/>
      <w:r>
        <w:rPr>
          <w:rFonts w:eastAsia="Cambria"/>
        </w:rPr>
        <w:t xml:space="preserve"> </w:t>
      </w:r>
      <w:r w:rsidRPr="00CB6F3A">
        <w:rPr>
          <w:rFonts w:eastAsia="Cambria"/>
        </w:rPr>
        <w:t>Contracting amounts below EUR 5.000 (excl. VAT)</w:t>
      </w:r>
      <w:r>
        <w:rPr>
          <w:rFonts w:eastAsia="Cambria"/>
        </w:rPr>
        <w:t xml:space="preserve"> </w:t>
      </w:r>
      <w:r w:rsidR="007731DE">
        <w:rPr>
          <w:rFonts w:eastAsia="Cambria"/>
        </w:rPr>
        <w:t xml:space="preserve">unless </w:t>
      </w:r>
      <w:r>
        <w:rPr>
          <w:rFonts w:eastAsia="Cambria"/>
        </w:rPr>
        <w:t xml:space="preserve">the threshold set by </w:t>
      </w:r>
      <w:r w:rsidR="007731DE">
        <w:rPr>
          <w:rFonts w:eastAsia="Cambria"/>
        </w:rPr>
        <w:t xml:space="preserve">the applicable </w:t>
      </w:r>
      <w:r>
        <w:rPr>
          <w:rFonts w:eastAsia="Cambria"/>
        </w:rPr>
        <w:t>national rules</w:t>
      </w:r>
      <w:r w:rsidR="007731DE">
        <w:rPr>
          <w:rFonts w:eastAsia="Cambria"/>
        </w:rPr>
        <w:t xml:space="preserve"> is stricter</w:t>
      </w:r>
      <w:r w:rsidR="00C176F7">
        <w:rPr>
          <w:rFonts w:eastAsia="Cambria"/>
        </w:rPr>
        <w:t xml:space="preserve"> </w:t>
      </w:r>
      <w:r w:rsidR="00C176F7" w:rsidRPr="007731DE">
        <w:rPr>
          <w:rFonts w:eastAsia="Cambria"/>
          <w:i/>
        </w:rPr>
        <w:t>(applicable to all types of beneficiaries</w:t>
      </w:r>
      <w:r w:rsidR="00226DCD" w:rsidRPr="007731DE">
        <w:rPr>
          <w:rFonts w:eastAsia="Cambria"/>
          <w:i/>
        </w:rPr>
        <w:t xml:space="preserve"> – to be filled in only once for all contracts</w:t>
      </w:r>
      <w:r w:rsidR="00C176F7" w:rsidRPr="007731DE">
        <w:rPr>
          <w:rFonts w:eastAsia="Cambria"/>
          <w:i/>
        </w:rPr>
        <w:t>)</w:t>
      </w:r>
    </w:p>
    <w:tbl>
      <w:tblPr>
        <w:tblStyle w:val="CE-Table1"/>
        <w:tblW w:w="9639" w:type="dxa"/>
        <w:tblLayout w:type="fixed"/>
        <w:tblLook w:val="01E0" w:firstRow="1" w:lastRow="1" w:firstColumn="1" w:lastColumn="1" w:noHBand="0" w:noVBand="0"/>
      </w:tblPr>
      <w:tblGrid>
        <w:gridCol w:w="6521"/>
        <w:gridCol w:w="992"/>
        <w:gridCol w:w="992"/>
        <w:gridCol w:w="1134"/>
      </w:tblGrid>
      <w:tr w:rsidR="00555E28" w:rsidRPr="00937846" w14:paraId="5509F49C" w14:textId="77777777" w:rsidTr="005E0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21" w:type="dxa"/>
            <w:vMerge w:val="restart"/>
          </w:tcPr>
          <w:p w14:paraId="3D3DE9C8" w14:textId="77777777" w:rsidR="00555E28" w:rsidRDefault="00555E28" w:rsidP="005E0143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0B3E5F72" w14:textId="77777777" w:rsidR="00555E28" w:rsidRDefault="00555E28" w:rsidP="005E0143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72E05E52" w14:textId="77777777" w:rsidR="00555E28" w:rsidRDefault="00555E28" w:rsidP="005E0143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248F5BB0" w14:textId="77777777" w:rsidR="00555E28" w:rsidRPr="00937846" w:rsidRDefault="00555E28" w:rsidP="005E0143">
            <w:pPr>
              <w:spacing w:before="60" w:after="60" w:line="240" w:lineRule="auto"/>
              <w:ind w:left="0" w:right="0"/>
              <w:jc w:val="left"/>
              <w:rPr>
                <w:rFonts w:eastAsia="Cambria" w:cs="Arial"/>
                <w:sz w:val="24"/>
                <w:lang w:val="en-US"/>
              </w:rPr>
            </w:pPr>
            <w:r w:rsidRPr="00933448">
              <w:rPr>
                <w:rFonts w:eastAsia="Cambria"/>
                <w:lang w:val="en-GB"/>
              </w:rPr>
              <w:t xml:space="preserve">Verifications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118" w:type="dxa"/>
            <w:gridSpan w:val="3"/>
          </w:tcPr>
          <w:p w14:paraId="2ABD37FF" w14:textId="77777777" w:rsidR="00555E28" w:rsidRDefault="00555E28" w:rsidP="005E0143">
            <w:pPr>
              <w:spacing w:before="20" w:after="20" w:line="240" w:lineRule="auto"/>
              <w:ind w:left="0" w:right="0"/>
              <w:jc w:val="center"/>
              <w:rPr>
                <w:rFonts w:eastAsia="Cambria"/>
                <w:sz w:val="16"/>
                <w:szCs w:val="16"/>
                <w:lang w:val="en-GB"/>
              </w:rPr>
            </w:pPr>
          </w:p>
          <w:p w14:paraId="3819E8EF" w14:textId="77777777" w:rsidR="00555E28" w:rsidRPr="00937846" w:rsidRDefault="00555E28" w:rsidP="005E0143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/>
                <w:sz w:val="16"/>
                <w:szCs w:val="16"/>
                <w:lang w:val="en-GB"/>
              </w:rPr>
              <w:t xml:space="preserve">Confirmed </w:t>
            </w:r>
          </w:p>
        </w:tc>
      </w:tr>
      <w:tr w:rsidR="00555E28" w:rsidRPr="00933448" w14:paraId="47FBA9D8" w14:textId="77777777" w:rsidTr="005E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Merge/>
          </w:tcPr>
          <w:p w14:paraId="79F9F210" w14:textId="77777777" w:rsidR="00555E28" w:rsidRPr="00937846" w:rsidRDefault="00555E28" w:rsidP="005E0143">
            <w:pPr>
              <w:spacing w:before="40" w:after="40" w:line="240" w:lineRule="auto"/>
              <w:ind w:left="0" w:right="0"/>
              <w:jc w:val="left"/>
              <w:rPr>
                <w:rFonts w:cs="Arial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4C85783" w14:textId="77777777" w:rsidR="00555E28" w:rsidRPr="00933448" w:rsidRDefault="00555E28" w:rsidP="005E0143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r w:rsidRPr="00933448">
              <w:rPr>
                <w:rFonts w:eastAsia="Cambria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</w:tcPr>
          <w:p w14:paraId="14D1EE45" w14:textId="77777777" w:rsidR="00555E28" w:rsidRPr="00933448" w:rsidRDefault="00555E28" w:rsidP="005E0143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 w:val="16"/>
                <w:szCs w:val="16"/>
                <w:lang w:val="en-GB"/>
              </w:rPr>
            </w:pPr>
            <w:r w:rsidRPr="00933448">
              <w:rPr>
                <w:rFonts w:eastAsia="Cambria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4AE90F3" w14:textId="77777777" w:rsidR="00555E28" w:rsidRPr="00933448" w:rsidRDefault="00555E28" w:rsidP="005E0143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proofErr w:type="spellStart"/>
            <w:r w:rsidRPr="00933448">
              <w:rPr>
                <w:rFonts w:eastAsia="Cambria" w:cs="Arial"/>
                <w:sz w:val="16"/>
                <w:szCs w:val="16"/>
                <w:lang w:val="en-GB"/>
              </w:rPr>
              <w:t>n.a</w:t>
            </w:r>
            <w:proofErr w:type="spellEnd"/>
            <w:r w:rsidRPr="00933448">
              <w:rPr>
                <w:rFonts w:eastAsia="Cambria" w:cs="Arial"/>
                <w:sz w:val="16"/>
                <w:szCs w:val="16"/>
                <w:lang w:val="en-GB"/>
              </w:rPr>
              <w:t>.</w:t>
            </w:r>
          </w:p>
        </w:tc>
      </w:tr>
      <w:tr w:rsidR="00CB6F3A" w:rsidRPr="00937846" w14:paraId="012BD258" w14:textId="77777777" w:rsidTr="00CB6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08D18EF9" w14:textId="77777777" w:rsidR="00CB6F3A" w:rsidRPr="00CB6F3A" w:rsidRDefault="00CB6F3A" w:rsidP="00CB6F3A">
            <w:pPr>
              <w:numPr>
                <w:ilvl w:val="0"/>
                <w:numId w:val="37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caps/>
                <w:lang w:val="en-US" w:eastAsia="de-DE"/>
              </w:rPr>
            </w:pPr>
            <w:r w:rsidRPr="00CB6F3A">
              <w:rPr>
                <w:rFonts w:cs="Arial"/>
                <w:b w:val="0"/>
                <w:lang w:val="en-US" w:eastAsia="de-DE"/>
              </w:rPr>
              <w:t>The adequacy of costs was ensured and demonstrated.</w:t>
            </w:r>
          </w:p>
          <w:p w14:paraId="6A668EB1" w14:textId="3FEBEB58" w:rsidR="00CB6F3A" w:rsidRPr="00684BA6" w:rsidRDefault="00CB6F3A" w:rsidP="00CB6F3A">
            <w:p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i/>
                <w:szCs w:val="18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B7D0AE4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717D0EE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7B6F6EE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CB6F3A" w:rsidRPr="00937846" w14:paraId="6CA7455E" w14:textId="77777777" w:rsidTr="00CB6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521" w:type="dxa"/>
            <w:tcBorders>
              <w:bottom w:val="single" w:sz="4" w:space="0" w:color="7B7B7D" w:themeColor="accent4"/>
            </w:tcBorders>
          </w:tcPr>
          <w:p w14:paraId="09313132" w14:textId="77777777" w:rsidR="00CB6F3A" w:rsidRPr="00684BA6" w:rsidRDefault="00CB6F3A" w:rsidP="00CB6F3A">
            <w:pPr>
              <w:numPr>
                <w:ilvl w:val="0"/>
                <w:numId w:val="37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GB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t xml:space="preserve">There is no evidence of artificial splitting of the contract objective/value in order to avoid procurement requirements.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7B7B7D" w:themeColor="accent4"/>
            </w:tcBorders>
          </w:tcPr>
          <w:p w14:paraId="3F38F99F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7B7B7D" w:themeColor="accent4"/>
            </w:tcBorders>
          </w:tcPr>
          <w:p w14:paraId="07CD1F6C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34" w:type="dxa"/>
            <w:tcBorders>
              <w:bottom w:val="single" w:sz="4" w:space="0" w:color="7B7B7D" w:themeColor="accent4"/>
            </w:tcBorders>
          </w:tcPr>
          <w:p w14:paraId="633B1526" w14:textId="77777777" w:rsidR="00CB6F3A" w:rsidRPr="00937846" w:rsidRDefault="00CB6F3A" w:rsidP="00CB6F3A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</w:tbl>
    <w:tbl>
      <w:tblPr>
        <w:tblStyle w:val="CE-TableExample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C21EB8" w:rsidRPr="001247CD" w14:paraId="752E84AA" w14:textId="77777777" w:rsidTr="005E0143">
        <w:tc>
          <w:tcPr>
            <w:tcW w:w="9639" w:type="dxa"/>
          </w:tcPr>
          <w:p w14:paraId="00E945A6" w14:textId="77777777" w:rsidR="00C21EB8" w:rsidRPr="00937846" w:rsidRDefault="00C21EB8" w:rsidP="005E0143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b/>
                <w:lang w:val="en-GB"/>
              </w:rPr>
              <w:t xml:space="preserve">Results, comments, recommendations, points to follow-up (if any). </w:t>
            </w:r>
          </w:p>
          <w:p w14:paraId="1021A11D" w14:textId="77777777" w:rsidR="00C21EB8" w:rsidRPr="00937846" w:rsidRDefault="00C21EB8" w:rsidP="005E0143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i/>
                <w:lang w:val="en-GB"/>
              </w:rPr>
              <w:t>NOTE: deductions (if any) are allocated to the relevant budget lines</w:t>
            </w:r>
          </w:p>
        </w:tc>
      </w:tr>
      <w:tr w:rsidR="00C21EB8" w:rsidRPr="001247CD" w14:paraId="008795C3" w14:textId="77777777" w:rsidTr="005E0143">
        <w:tc>
          <w:tcPr>
            <w:tcW w:w="9639" w:type="dxa"/>
          </w:tcPr>
          <w:p w14:paraId="14A45CC4" w14:textId="77777777" w:rsidR="00C21EB8" w:rsidRPr="00937846" w:rsidRDefault="00C21EB8" w:rsidP="005E0143">
            <w:pPr>
              <w:spacing w:before="80" w:after="4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</w:p>
        </w:tc>
      </w:tr>
    </w:tbl>
    <w:p w14:paraId="290B9F23" w14:textId="77777777" w:rsidR="00715AC3" w:rsidRPr="00040AEB" w:rsidRDefault="00715AC3" w:rsidP="00875CCB">
      <w:pPr>
        <w:pStyle w:val="CE-StandardText"/>
        <w:rPr>
          <w:rFonts w:eastAsia="Cambria"/>
          <w:lang w:val="en-GB"/>
        </w:rPr>
      </w:pPr>
    </w:p>
    <w:p w14:paraId="3DE4C214" w14:textId="77777777" w:rsidR="00715AC3" w:rsidRDefault="00715AC3" w:rsidP="00875CCB">
      <w:pPr>
        <w:pStyle w:val="CE-StandardText"/>
        <w:rPr>
          <w:rFonts w:eastAsia="Cambria"/>
        </w:rPr>
      </w:pPr>
    </w:p>
    <w:p w14:paraId="6FE1A427" w14:textId="77777777" w:rsidR="00933448" w:rsidRDefault="00933448" w:rsidP="00875CCB">
      <w:pPr>
        <w:pStyle w:val="CE-StandardText"/>
        <w:rPr>
          <w:rFonts w:eastAsia="Cambria"/>
        </w:rPr>
      </w:pPr>
    </w:p>
    <w:p w14:paraId="06334FB0" w14:textId="1136134D" w:rsidR="00684BA6" w:rsidRPr="00715AC3" w:rsidRDefault="00937846" w:rsidP="00715AC3">
      <w:pPr>
        <w:pStyle w:val="CE-Head3"/>
        <w:rPr>
          <w:rFonts w:eastAsia="Cambria"/>
          <w:i/>
        </w:rPr>
      </w:pPr>
      <w:proofErr w:type="gramStart"/>
      <w:r w:rsidRPr="00937846">
        <w:rPr>
          <w:rFonts w:eastAsia="Cambria"/>
        </w:rPr>
        <w:lastRenderedPageBreak/>
        <w:t>5.</w:t>
      </w:r>
      <w:r w:rsidR="00CB6F3A">
        <w:rPr>
          <w:rFonts w:eastAsia="Cambria"/>
        </w:rPr>
        <w:t>b</w:t>
      </w:r>
      <w:proofErr w:type="gramEnd"/>
      <w:r w:rsidRPr="00937846">
        <w:rPr>
          <w:rFonts w:eastAsia="Cambria"/>
        </w:rPr>
        <w:tab/>
        <w:t xml:space="preserve">Contracting between EUR 5.000 (excl. VAT) and the threshold set by the applicable EU or national rules </w:t>
      </w:r>
      <w:r w:rsidRPr="00937846">
        <w:rPr>
          <w:rFonts w:eastAsia="Cambria"/>
          <w:i/>
        </w:rPr>
        <w:t>(applicable to all types of beneficiaries</w:t>
      </w:r>
      <w:r w:rsidR="00226DCD">
        <w:rPr>
          <w:rFonts w:eastAsia="Cambria"/>
          <w:i/>
        </w:rPr>
        <w:t xml:space="preserve"> – to be duplicated and filled in for each contract</w:t>
      </w:r>
      <w:r w:rsidRPr="00937846">
        <w:rPr>
          <w:rFonts w:eastAsia="Cambria"/>
          <w:i/>
        </w:rPr>
        <w:t>)</w:t>
      </w:r>
    </w:p>
    <w:p w14:paraId="7984C74F" w14:textId="77777777" w:rsidR="00684BA6" w:rsidRPr="00933448" w:rsidRDefault="00684BA6" w:rsidP="00933448">
      <w:pPr>
        <w:pStyle w:val="CE-StandardText"/>
        <w:rPr>
          <w:rFonts w:eastAsia="Cambria"/>
        </w:rPr>
      </w:pPr>
    </w:p>
    <w:tbl>
      <w:tblPr>
        <w:tblStyle w:val="CE-Table1"/>
        <w:tblW w:w="9639" w:type="dxa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567"/>
        <w:gridCol w:w="992"/>
        <w:gridCol w:w="142"/>
        <w:gridCol w:w="850"/>
        <w:gridCol w:w="1134"/>
      </w:tblGrid>
      <w:tr w:rsidR="00937846" w:rsidRPr="001247CD" w14:paraId="698440AA" w14:textId="77777777" w:rsidTr="00875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24CD5E56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3448">
              <w:rPr>
                <w:rFonts w:eastAsia="Cambria"/>
                <w:lang w:val="en-GB"/>
              </w:rPr>
              <w:t>Title of the procurement – if applicable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70" w:type="dxa"/>
            <w:gridSpan w:val="6"/>
          </w:tcPr>
          <w:p w14:paraId="75A8D870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937846" w14:paraId="5238AF5D" w14:textId="77777777" w:rsidTr="0087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1B19CE4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>Type of procurement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5DC9637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works</w:t>
            </w:r>
          </w:p>
        </w:tc>
        <w:tc>
          <w:tcPr>
            <w:tcW w:w="1701" w:type="dxa"/>
            <w:gridSpan w:val="3"/>
          </w:tcPr>
          <w:p w14:paraId="5A7BAF72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 xml:space="preserve">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gridSpan w:val="2"/>
          </w:tcPr>
          <w:p w14:paraId="56067EBB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supply</w:t>
            </w:r>
          </w:p>
        </w:tc>
      </w:tr>
      <w:tr w:rsidR="00937846" w:rsidRPr="001247CD" w14:paraId="4325426C" w14:textId="77777777" w:rsidTr="00875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AC5E0C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>Name of purchased services/work/supply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gridSpan w:val="6"/>
          </w:tcPr>
          <w:p w14:paraId="66A0D556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1247CD" w14:paraId="2C4A2C5B" w14:textId="77777777" w:rsidTr="0087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771FE95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Name of contractor </w:t>
            </w:r>
            <w:r w:rsidRPr="00684BA6">
              <w:rPr>
                <w:rFonts w:eastAsia="Cambria"/>
                <w:b w:val="0"/>
                <w:lang w:val="en-GB"/>
              </w:rPr>
              <w:br/>
            </w:r>
            <w:r w:rsidRPr="00684BA6">
              <w:rPr>
                <w:rFonts w:eastAsia="Cambria"/>
                <w:b w:val="0"/>
                <w:i/>
                <w:lang w:val="en-GB"/>
              </w:rPr>
              <w:t>(for purchases between EUR 5.000 excl. VAT and the applicable threshold)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gridSpan w:val="6"/>
          </w:tcPr>
          <w:p w14:paraId="3B404956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937846" w14:paraId="6E1D1335" w14:textId="77777777" w:rsidTr="00875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 w:val="restart"/>
          </w:tcPr>
          <w:p w14:paraId="38145744" w14:textId="77777777" w:rsidR="00933448" w:rsidRDefault="00933448" w:rsidP="00937846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7F648D1D" w14:textId="77777777" w:rsidR="00933448" w:rsidRDefault="00933448" w:rsidP="00937846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4F868154" w14:textId="77777777" w:rsidR="00933448" w:rsidRDefault="00933448" w:rsidP="00937846">
            <w:pPr>
              <w:spacing w:before="40" w:after="4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349456CE" w14:textId="77777777" w:rsidR="00937846" w:rsidRPr="00937846" w:rsidRDefault="00937846" w:rsidP="00933448">
            <w:pPr>
              <w:spacing w:before="60" w:after="60" w:line="240" w:lineRule="auto"/>
              <w:ind w:left="0" w:right="0"/>
              <w:jc w:val="left"/>
              <w:rPr>
                <w:rFonts w:eastAsia="Cambria" w:cs="Arial"/>
                <w:sz w:val="24"/>
                <w:lang w:val="en-US"/>
              </w:rPr>
            </w:pPr>
            <w:r w:rsidRPr="00933448">
              <w:rPr>
                <w:rFonts w:eastAsia="Cambria"/>
                <w:caps/>
                <w:color w:val="7E93A5" w:themeColor="background2"/>
                <w:sz w:val="22"/>
                <w:lang w:val="en-GB"/>
              </w:rPr>
              <w:t xml:space="preserve">Verifications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gridSpan w:val="4"/>
          </w:tcPr>
          <w:p w14:paraId="761C4DA7" w14:textId="77777777" w:rsidR="00933448" w:rsidRDefault="00933448" w:rsidP="00937846">
            <w:pPr>
              <w:spacing w:before="20" w:after="20" w:line="240" w:lineRule="auto"/>
              <w:ind w:left="0" w:right="0"/>
              <w:jc w:val="center"/>
              <w:rPr>
                <w:rFonts w:eastAsia="Cambria"/>
                <w:sz w:val="16"/>
                <w:szCs w:val="16"/>
                <w:lang w:val="en-GB"/>
              </w:rPr>
            </w:pPr>
          </w:p>
          <w:p w14:paraId="39D2FC1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/>
                <w:sz w:val="16"/>
                <w:szCs w:val="16"/>
                <w:lang w:val="en-GB"/>
              </w:rPr>
              <w:t xml:space="preserve">Confirmed </w:t>
            </w:r>
          </w:p>
        </w:tc>
      </w:tr>
      <w:tr w:rsidR="00937846" w:rsidRPr="00937846" w14:paraId="4D23745B" w14:textId="77777777" w:rsidTr="0087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</w:tcPr>
          <w:p w14:paraId="6C76BBD5" w14:textId="77777777" w:rsidR="00937846" w:rsidRPr="00937846" w:rsidRDefault="00937846" w:rsidP="00937846">
            <w:pPr>
              <w:spacing w:before="40" w:after="40" w:line="240" w:lineRule="auto"/>
              <w:ind w:left="0" w:right="0"/>
              <w:jc w:val="left"/>
              <w:rPr>
                <w:rFonts w:cs="Arial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210C3A8" w14:textId="77777777" w:rsidR="00937846" w:rsidRPr="00933448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r w:rsidRPr="00933448">
              <w:rPr>
                <w:rFonts w:eastAsia="Cambria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gridSpan w:val="2"/>
          </w:tcPr>
          <w:p w14:paraId="782EBF72" w14:textId="77777777" w:rsidR="00937846" w:rsidRPr="00933448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 w:val="16"/>
                <w:szCs w:val="16"/>
                <w:lang w:val="en-GB"/>
              </w:rPr>
            </w:pPr>
            <w:r w:rsidRPr="00933448">
              <w:rPr>
                <w:rFonts w:eastAsia="Cambria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4737A31" w14:textId="77777777" w:rsidR="00937846" w:rsidRPr="00933448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proofErr w:type="spellStart"/>
            <w:r w:rsidRPr="00933448">
              <w:rPr>
                <w:rFonts w:eastAsia="Cambria" w:cs="Arial"/>
                <w:sz w:val="16"/>
                <w:szCs w:val="16"/>
                <w:lang w:val="en-GB"/>
              </w:rPr>
              <w:t>n.a</w:t>
            </w:r>
            <w:proofErr w:type="spellEnd"/>
            <w:r w:rsidRPr="00933448">
              <w:rPr>
                <w:rFonts w:eastAsia="Cambria" w:cs="Arial"/>
                <w:sz w:val="16"/>
                <w:szCs w:val="16"/>
                <w:lang w:val="en-GB"/>
              </w:rPr>
              <w:t>.</w:t>
            </w:r>
          </w:p>
        </w:tc>
      </w:tr>
      <w:tr w:rsidR="00937846" w:rsidRPr="00937846" w14:paraId="0EEB03C1" w14:textId="77777777" w:rsidTr="00875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643396A1" w14:textId="77777777" w:rsidR="00937846" w:rsidRPr="00684BA6" w:rsidRDefault="00937846" w:rsidP="00226DCD">
            <w:pPr>
              <w:numPr>
                <w:ilvl w:val="0"/>
                <w:numId w:val="42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t>Adequate market researches were performed and are duly documented.</w:t>
            </w:r>
          </w:p>
          <w:p w14:paraId="2A269AF2" w14:textId="2936B8C9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6130471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29E2450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7E3F2E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793A51B1" w14:textId="77777777" w:rsidTr="0071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bottom w:val="single" w:sz="4" w:space="0" w:color="7B7B7D" w:themeColor="accent4"/>
            </w:tcBorders>
          </w:tcPr>
          <w:p w14:paraId="44B77425" w14:textId="77777777" w:rsidR="00937846" w:rsidRPr="00684BA6" w:rsidRDefault="00937846" w:rsidP="00226DCD">
            <w:pPr>
              <w:numPr>
                <w:ilvl w:val="0"/>
                <w:numId w:val="42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GB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t xml:space="preserve">There is no evidence of artificial splitting of the contract objective/value in order to avoid procurement requirements.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7B7B7D" w:themeColor="accent4"/>
            </w:tcBorders>
          </w:tcPr>
          <w:p w14:paraId="4CEF8635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7B7B7D" w:themeColor="accent4"/>
            </w:tcBorders>
          </w:tcPr>
          <w:p w14:paraId="1BFC862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7B7B7D" w:themeColor="accent4"/>
            </w:tcBorders>
          </w:tcPr>
          <w:p w14:paraId="41B288E3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0849DFDD" w14:textId="77777777" w:rsidTr="00715A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521" w:type="dxa"/>
            <w:gridSpan w:val="3"/>
            <w:tcBorders>
              <w:top w:val="single" w:sz="4" w:space="0" w:color="7B7B7D" w:themeColor="accent4"/>
            </w:tcBorders>
          </w:tcPr>
          <w:p w14:paraId="4D5CDC5A" w14:textId="77777777" w:rsidR="00937846" w:rsidRPr="00684BA6" w:rsidRDefault="00937846" w:rsidP="00523CF1">
            <w:pPr>
              <w:numPr>
                <w:ilvl w:val="0"/>
                <w:numId w:val="42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t>If applicable, any amendment of the contract is in line with the applicable public procurement rules without any relevant impact on the validity of the initial procurement procedure.</w:t>
            </w:r>
          </w:p>
          <w:p w14:paraId="7E7E35A5" w14:textId="77777777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eastAsia="Cambria" w:cs="Arial"/>
                <w:b w:val="0"/>
                <w:sz w:val="24"/>
                <w:lang w:val="en-US"/>
              </w:rPr>
            </w:pPr>
            <w:r w:rsidRPr="00684BA6">
              <w:rPr>
                <w:rFonts w:cs="Arial"/>
                <w:b w:val="0"/>
                <w:i/>
                <w:sz w:val="16"/>
                <w:szCs w:val="16"/>
                <w:lang w:val="en-US" w:eastAsia="de-DE"/>
              </w:rPr>
              <w:t>(Only in case a contract amendment/extension has been issued)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7B7B7D" w:themeColor="accent4"/>
              <w:left w:val="nil"/>
              <w:right w:val="nil"/>
            </w:tcBorders>
          </w:tcPr>
          <w:p w14:paraId="4ADCE9AF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7B7B7D" w:themeColor="accent4"/>
              <w:left w:val="nil"/>
              <w:right w:val="nil"/>
            </w:tcBorders>
          </w:tcPr>
          <w:p w14:paraId="17FDCA66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34" w:type="dxa"/>
            <w:tcBorders>
              <w:top w:val="single" w:sz="4" w:space="0" w:color="7B7B7D" w:themeColor="accent4"/>
            </w:tcBorders>
          </w:tcPr>
          <w:p w14:paraId="7E4A6D23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</w:tbl>
    <w:p w14:paraId="151DD66A" w14:textId="77777777" w:rsidR="00937846" w:rsidRPr="00937846" w:rsidRDefault="00937846" w:rsidP="00937846">
      <w:pPr>
        <w:spacing w:before="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8"/>
          <w:szCs w:val="8"/>
          <w:lang w:val="en-GB"/>
        </w:rPr>
      </w:pPr>
    </w:p>
    <w:tbl>
      <w:tblPr>
        <w:tblStyle w:val="CE-TableExample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937846" w:rsidRPr="001247CD" w14:paraId="57429FDE" w14:textId="77777777" w:rsidTr="00875CCB">
        <w:tc>
          <w:tcPr>
            <w:tcW w:w="9639" w:type="dxa"/>
          </w:tcPr>
          <w:p w14:paraId="34B74BAB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b/>
                <w:lang w:val="en-GB"/>
              </w:rPr>
              <w:t xml:space="preserve">Results, comments, recommendations, points to follow-up (if any). </w:t>
            </w:r>
          </w:p>
          <w:p w14:paraId="76DEAA92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i/>
                <w:lang w:val="en-GB"/>
              </w:rPr>
              <w:t>NOTE: deductions (if any) are allocated to the relevant budget lines</w:t>
            </w:r>
          </w:p>
        </w:tc>
      </w:tr>
      <w:tr w:rsidR="00937846" w:rsidRPr="001247CD" w14:paraId="2A92A137" w14:textId="77777777" w:rsidTr="00875CCB">
        <w:tc>
          <w:tcPr>
            <w:tcW w:w="9639" w:type="dxa"/>
          </w:tcPr>
          <w:p w14:paraId="31FBF92A" w14:textId="77777777" w:rsidR="00937846" w:rsidRPr="00937846" w:rsidRDefault="00937846" w:rsidP="00937846">
            <w:pPr>
              <w:spacing w:before="80" w:after="4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</w:p>
        </w:tc>
      </w:tr>
    </w:tbl>
    <w:p w14:paraId="563F9678" w14:textId="77777777" w:rsidR="00937846" w:rsidRDefault="00937846" w:rsidP="00937846">
      <w:pPr>
        <w:spacing w:before="240" w:after="12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24"/>
          <w:szCs w:val="24"/>
          <w:lang w:val="en-GB"/>
        </w:rPr>
      </w:pPr>
    </w:p>
    <w:p w14:paraId="20DB5795" w14:textId="77777777" w:rsidR="001247CD" w:rsidRPr="00937846" w:rsidRDefault="001247CD" w:rsidP="00937846">
      <w:pPr>
        <w:spacing w:before="240" w:after="12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24"/>
          <w:szCs w:val="24"/>
          <w:lang w:val="en-GB"/>
        </w:rPr>
      </w:pPr>
    </w:p>
    <w:p w14:paraId="607C4B1D" w14:textId="77777777" w:rsidR="00937846" w:rsidRPr="00937846" w:rsidRDefault="00937846" w:rsidP="00937846">
      <w:pPr>
        <w:spacing w:before="240" w:after="12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24"/>
          <w:szCs w:val="24"/>
          <w:lang w:val="en-GB"/>
        </w:rPr>
      </w:pPr>
    </w:p>
    <w:p w14:paraId="1B5A895B" w14:textId="77777777" w:rsidR="00937846" w:rsidRPr="00937846" w:rsidRDefault="00937846" w:rsidP="00875CCB">
      <w:pPr>
        <w:pStyle w:val="CE-Head2"/>
        <w:rPr>
          <w:rFonts w:eastAsia="Cambria"/>
          <w:lang w:val="en-GB"/>
        </w:rPr>
      </w:pPr>
      <w:r w:rsidRPr="00937846">
        <w:rPr>
          <w:rFonts w:eastAsia="Cambria"/>
          <w:lang w:val="en-GB"/>
        </w:rPr>
        <w:lastRenderedPageBreak/>
        <w:t>Contracting amounts above the threshold set by the applicable EU or national rules.</w:t>
      </w:r>
    </w:p>
    <w:tbl>
      <w:tblPr>
        <w:tblStyle w:val="CE-Table1"/>
        <w:tblW w:w="9498" w:type="dxa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2977"/>
      </w:tblGrid>
      <w:tr w:rsidR="00937846" w:rsidRPr="001247CD" w14:paraId="431FC314" w14:textId="77777777" w:rsidTr="0068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shd w:val="clear" w:color="auto" w:fill="E8EEEF" w:themeFill="accent2" w:themeFillTint="33"/>
          </w:tcPr>
          <w:p w14:paraId="7B541829" w14:textId="77777777" w:rsidR="00937846" w:rsidRPr="00933448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According to the legal status of the beneficiary as set in the approved application form: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E8EEEF" w:themeFill="accent2" w:themeFillTint="33"/>
          </w:tcPr>
          <w:p w14:paraId="642FCE42" w14:textId="77777777" w:rsidR="00937846" w:rsidRPr="00933448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olor w:val="0C0C0C" w:themeColor="text1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instrText xml:space="preserve"> FORMCHECKBOX </w:instrText>
            </w:r>
            <w:r w:rsidR="006324A4">
              <w:rPr>
                <w:rFonts w:eastAsia="Cambria"/>
                <w:color w:val="0C0C0C" w:themeColor="text1"/>
                <w:sz w:val="18"/>
                <w:lang w:val="en-GB"/>
              </w:rPr>
            </w:r>
            <w:r w:rsidR="006324A4">
              <w:rPr>
                <w:rFonts w:eastAsia="Cambria"/>
                <w:color w:val="0C0C0C" w:themeColor="text1"/>
                <w:sz w:val="18"/>
                <w:lang w:val="en-GB"/>
              </w:rPr>
              <w:fldChar w:fldCharType="separate"/>
            </w:r>
            <w:r w:rsidRPr="00933448">
              <w:rPr>
                <w:rFonts w:eastAsia="Cambria"/>
                <w:color w:val="0C0C0C" w:themeColor="text1"/>
                <w:sz w:val="18"/>
                <w:lang w:val="en-GB"/>
              </w:rPr>
              <w:fldChar w:fldCharType="end"/>
            </w: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 xml:space="preserve">                                                    The beneficiary falls under the scope of application of the public procurement laws </w:t>
            </w:r>
          </w:p>
          <w:p w14:paraId="1908B370" w14:textId="77777777" w:rsidR="00937846" w:rsidRPr="00933448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</w:p>
          <w:p w14:paraId="7DD89405" w14:textId="18634719" w:rsidR="00937846" w:rsidRPr="00933448" w:rsidRDefault="00937846" w:rsidP="004B10A3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(if ticked, answer section 5.</w:t>
            </w:r>
            <w:r w:rsidR="004B10A3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c</w:t>
            </w: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977" w:type="dxa"/>
            <w:shd w:val="clear" w:color="auto" w:fill="E8EEEF" w:themeFill="accent2" w:themeFillTint="33"/>
          </w:tcPr>
          <w:p w14:paraId="78B376D4" w14:textId="77777777" w:rsidR="00937846" w:rsidRPr="00933448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olor w:val="0C0C0C" w:themeColor="text1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instrText xml:space="preserve"> FORMCHECKBOX </w:instrText>
            </w:r>
            <w:r w:rsidR="006324A4">
              <w:rPr>
                <w:rFonts w:eastAsia="Cambria"/>
                <w:color w:val="0C0C0C" w:themeColor="text1"/>
                <w:sz w:val="18"/>
                <w:lang w:val="en-GB"/>
              </w:rPr>
            </w:r>
            <w:r w:rsidR="006324A4">
              <w:rPr>
                <w:rFonts w:eastAsia="Cambria"/>
                <w:color w:val="0C0C0C" w:themeColor="text1"/>
                <w:sz w:val="18"/>
                <w:lang w:val="en-GB"/>
              </w:rPr>
              <w:fldChar w:fldCharType="separate"/>
            </w:r>
            <w:r w:rsidRPr="00933448">
              <w:rPr>
                <w:rFonts w:eastAsia="Cambria"/>
                <w:color w:val="0C0C0C" w:themeColor="text1"/>
                <w:sz w:val="18"/>
                <w:lang w:val="en-GB"/>
              </w:rPr>
              <w:fldChar w:fldCharType="end"/>
            </w:r>
          </w:p>
          <w:p w14:paraId="17E29C54" w14:textId="77777777" w:rsidR="00937846" w:rsidRPr="00933448" w:rsidRDefault="00937846" w:rsidP="00937846">
            <w:pPr>
              <w:spacing w:before="0" w:after="60" w:line="240" w:lineRule="auto"/>
              <w:ind w:left="0" w:right="0"/>
              <w:jc w:val="left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 xml:space="preserve">The beneficiary does not fall under the scope of application of the public procurement laws </w:t>
            </w:r>
          </w:p>
          <w:p w14:paraId="6B93F8FC" w14:textId="77777777" w:rsidR="00937846" w:rsidRPr="00933448" w:rsidRDefault="00937846" w:rsidP="00937846">
            <w:pPr>
              <w:spacing w:before="0" w:after="60" w:line="240" w:lineRule="auto"/>
              <w:ind w:left="0" w:right="0"/>
              <w:jc w:val="left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</w:p>
          <w:p w14:paraId="26C3DDC6" w14:textId="33AB3CE2" w:rsidR="00937846" w:rsidRPr="00933448" w:rsidRDefault="00937846" w:rsidP="00937846">
            <w:pPr>
              <w:spacing w:before="0" w:after="60" w:line="240" w:lineRule="auto"/>
              <w:ind w:left="0" w:right="0"/>
              <w:jc w:val="left"/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</w:pP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(if ticked, answer section 5.</w:t>
            </w:r>
            <w:r w:rsidR="004B10A3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d</w:t>
            </w:r>
            <w:r w:rsidRPr="00933448">
              <w:rPr>
                <w:rFonts w:eastAsia="Cambria"/>
                <w:caps w:val="0"/>
                <w:color w:val="0C0C0C" w:themeColor="text1"/>
                <w:sz w:val="18"/>
                <w:lang w:val="en-GB"/>
              </w:rPr>
              <w:t>)</w:t>
            </w:r>
          </w:p>
        </w:tc>
      </w:tr>
    </w:tbl>
    <w:p w14:paraId="348BC16A" w14:textId="77777777" w:rsidR="00937846" w:rsidRPr="00937846" w:rsidRDefault="00937846" w:rsidP="00933448">
      <w:pPr>
        <w:pStyle w:val="CE-Head3"/>
        <w:rPr>
          <w:rFonts w:eastAsia="Cambria"/>
        </w:rPr>
      </w:pPr>
    </w:p>
    <w:p w14:paraId="75DF20A0" w14:textId="77777777" w:rsidR="00684BA6" w:rsidRDefault="00684BA6" w:rsidP="00933448">
      <w:pPr>
        <w:pStyle w:val="CE-Head3"/>
        <w:rPr>
          <w:rFonts w:eastAsia="Cambria"/>
        </w:rPr>
      </w:pPr>
    </w:p>
    <w:p w14:paraId="33D56EA9" w14:textId="77777777" w:rsidR="00715AC3" w:rsidRPr="00715AC3" w:rsidRDefault="00715AC3" w:rsidP="00715AC3">
      <w:pPr>
        <w:pStyle w:val="CE-StandardText"/>
        <w:rPr>
          <w:rFonts w:eastAsia="Cambria"/>
        </w:rPr>
      </w:pPr>
    </w:p>
    <w:p w14:paraId="7087CF9B" w14:textId="4B4B89C9" w:rsidR="00937846" w:rsidRPr="00937846" w:rsidRDefault="00937846" w:rsidP="00933448">
      <w:pPr>
        <w:pStyle w:val="CE-Head3"/>
        <w:rPr>
          <w:rFonts w:eastAsia="Cambria"/>
        </w:rPr>
      </w:pPr>
      <w:proofErr w:type="gramStart"/>
      <w:r w:rsidRPr="00937846">
        <w:rPr>
          <w:rFonts w:eastAsia="Cambria"/>
        </w:rPr>
        <w:t>5.</w:t>
      </w:r>
      <w:r w:rsidR="00CB6F3A">
        <w:rPr>
          <w:rFonts w:eastAsia="Cambria"/>
        </w:rPr>
        <w:t>c</w:t>
      </w:r>
      <w:proofErr w:type="gramEnd"/>
      <w:r w:rsidRPr="00937846">
        <w:rPr>
          <w:rFonts w:eastAsia="Cambria"/>
        </w:rPr>
        <w:t>. Contracting amounts above the threshold set by the applicable EU or national rules (</w:t>
      </w:r>
      <w:r w:rsidRPr="00226DCD">
        <w:rPr>
          <w:rFonts w:eastAsia="Cambria"/>
          <w:i/>
        </w:rPr>
        <w:t xml:space="preserve">for institutions </w:t>
      </w:r>
      <w:r w:rsidRPr="00226DCD">
        <w:rPr>
          <w:rFonts w:eastAsia="Cambria"/>
          <w:i/>
          <w:u w:val="single"/>
        </w:rPr>
        <w:t>falling under</w:t>
      </w:r>
      <w:r w:rsidRPr="00226DCD">
        <w:rPr>
          <w:rFonts w:eastAsia="Cambria"/>
          <w:i/>
        </w:rPr>
        <w:t xml:space="preserve"> the scope of application of the public procurement laws</w:t>
      </w:r>
      <w:r w:rsidR="00226DCD">
        <w:rPr>
          <w:rFonts w:eastAsia="Cambria"/>
        </w:rPr>
        <w:t xml:space="preserve"> </w:t>
      </w:r>
      <w:r w:rsidR="00226DCD">
        <w:rPr>
          <w:rFonts w:eastAsia="Cambria"/>
          <w:i/>
        </w:rPr>
        <w:t>– to be duplicated and filled in for each contract</w:t>
      </w:r>
      <w:r w:rsidRPr="00937846">
        <w:rPr>
          <w:rFonts w:eastAsia="Cambria"/>
        </w:rPr>
        <w:t>)</w:t>
      </w:r>
    </w:p>
    <w:tbl>
      <w:tblPr>
        <w:tblStyle w:val="CE-Table1"/>
        <w:tblW w:w="9356" w:type="dxa"/>
        <w:tblLayout w:type="fixed"/>
        <w:tblLook w:val="01E0" w:firstRow="1" w:lastRow="1" w:firstColumn="1" w:lastColumn="1" w:noHBand="0" w:noVBand="0"/>
      </w:tblPr>
      <w:tblGrid>
        <w:gridCol w:w="3966"/>
        <w:gridCol w:w="1843"/>
        <w:gridCol w:w="712"/>
        <w:gridCol w:w="280"/>
        <w:gridCol w:w="712"/>
        <w:gridCol w:w="281"/>
        <w:gridCol w:w="711"/>
        <w:gridCol w:w="851"/>
      </w:tblGrid>
      <w:tr w:rsidR="00937846" w:rsidRPr="00937846" w14:paraId="4E3C47FA" w14:textId="77777777" w:rsidTr="0068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6" w:type="dxa"/>
          </w:tcPr>
          <w:p w14:paraId="350FFBFD" w14:textId="77777777" w:rsidR="00715AC3" w:rsidRDefault="00715AC3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25344DD1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/>
                <w:lang w:val="en-GB"/>
              </w:rPr>
              <w:t xml:space="preserve">Title of the procurement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390" w:type="dxa"/>
            <w:gridSpan w:val="7"/>
          </w:tcPr>
          <w:p w14:paraId="629A22F7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937846" w14:paraId="6062FDDB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79A23163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Name of contractor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</w:tcPr>
          <w:p w14:paraId="5E4D8E8F" w14:textId="77777777" w:rsidR="00937846" w:rsidRPr="00937846" w:rsidRDefault="00937846" w:rsidP="00684BA6">
            <w:pPr>
              <w:spacing w:before="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</w:tc>
      </w:tr>
      <w:tr w:rsidR="00937846" w:rsidRPr="00937846" w14:paraId="3B6FB88B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50B1A8B4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The value of the procured, works, goods or services is above the EU threshold.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3"/>
          </w:tcPr>
          <w:p w14:paraId="4AA1DBAE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5" w:type="dxa"/>
            <w:gridSpan w:val="4"/>
          </w:tcPr>
          <w:p w14:paraId="3E757754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no</w:t>
            </w:r>
          </w:p>
        </w:tc>
      </w:tr>
      <w:tr w:rsidR="00937846" w:rsidRPr="00937846" w14:paraId="3EBC6BC9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48077CF8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Type of tender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2521314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works</w:t>
            </w:r>
          </w:p>
        </w:tc>
        <w:tc>
          <w:tcPr>
            <w:tcW w:w="1985" w:type="dxa"/>
            <w:gridSpan w:val="4"/>
          </w:tcPr>
          <w:p w14:paraId="01B2D012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 xml:space="preserve">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2" w:type="dxa"/>
            <w:gridSpan w:val="2"/>
          </w:tcPr>
          <w:p w14:paraId="43E4E1EF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supply</w:t>
            </w:r>
          </w:p>
        </w:tc>
      </w:tr>
      <w:tr w:rsidR="00937846" w:rsidRPr="001247CD" w14:paraId="1DCC4982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5D7FE651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Procurement </w:t>
            </w:r>
            <w:proofErr w:type="gramStart"/>
            <w:r w:rsidRPr="00684BA6">
              <w:rPr>
                <w:rFonts w:eastAsia="Cambria"/>
                <w:b w:val="0"/>
                <w:lang w:val="en-GB"/>
              </w:rPr>
              <w:t>procedure chosen</w:t>
            </w:r>
            <w:proofErr w:type="gramEnd"/>
            <w:r w:rsidRPr="00684BA6">
              <w:rPr>
                <w:rFonts w:eastAsia="Cambria"/>
                <w:b w:val="0"/>
                <w:lang w:val="en-GB"/>
              </w:rPr>
              <w:t xml:space="preserve"> (open, restricted, negotiated, direct contracting, etc.).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</w:tcPr>
          <w:p w14:paraId="0EB3ABA3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</w:tc>
      </w:tr>
      <w:tr w:rsidR="00937846" w:rsidRPr="001247CD" w14:paraId="6CA2BA9D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412CCA08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Channels/means chosen for publication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</w:tcPr>
          <w:p w14:paraId="6E4F6B85" w14:textId="77777777" w:rsidR="00937846" w:rsidRPr="00937846" w:rsidRDefault="00937846" w:rsidP="00684BA6">
            <w:pPr>
              <w:spacing w:before="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  <w:p w14:paraId="77DCCC9E" w14:textId="77777777" w:rsidR="00937846" w:rsidRPr="00937846" w:rsidRDefault="00937846" w:rsidP="00684BA6">
            <w:pPr>
              <w:spacing w:before="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</w:p>
        </w:tc>
      </w:tr>
      <w:tr w:rsidR="00937846" w:rsidRPr="00937846" w14:paraId="5F741CD0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 w:val="restart"/>
          </w:tcPr>
          <w:p w14:paraId="39DE048F" w14:textId="77777777" w:rsidR="00937846" w:rsidRPr="00937846" w:rsidRDefault="00937846" w:rsidP="00933448">
            <w:pPr>
              <w:spacing w:before="60" w:after="60" w:line="240" w:lineRule="auto"/>
              <w:ind w:left="0" w:right="0"/>
              <w:jc w:val="left"/>
              <w:rPr>
                <w:rFonts w:eastAsia="Cambria" w:cs="Arial"/>
                <w:sz w:val="24"/>
                <w:lang w:val="en-US"/>
              </w:rPr>
            </w:pPr>
            <w:r w:rsidRPr="00933448">
              <w:rPr>
                <w:rFonts w:eastAsia="Cambria"/>
                <w:caps/>
                <w:color w:val="7E93A5" w:themeColor="background2"/>
                <w:sz w:val="22"/>
                <w:lang w:val="en-GB"/>
              </w:rPr>
              <w:t>Verifications</w:t>
            </w:r>
            <w:r w:rsidRPr="00937846">
              <w:rPr>
                <w:rFonts w:eastAsia="Cambria"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5"/>
          </w:tcPr>
          <w:p w14:paraId="1561AE9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/>
                <w:sz w:val="16"/>
                <w:szCs w:val="16"/>
                <w:lang w:val="en-GB"/>
              </w:rPr>
              <w:t xml:space="preserve">Confirmed </w:t>
            </w:r>
          </w:p>
        </w:tc>
      </w:tr>
      <w:tr w:rsidR="00937846" w:rsidRPr="00937846" w14:paraId="14A063CA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</w:tcPr>
          <w:p w14:paraId="048253B9" w14:textId="77777777" w:rsidR="00937846" w:rsidRPr="00937846" w:rsidRDefault="00937846" w:rsidP="00937846">
            <w:pPr>
              <w:spacing w:before="40" w:after="40" w:line="240" w:lineRule="auto"/>
              <w:ind w:left="0" w:right="0"/>
              <w:jc w:val="left"/>
              <w:rPr>
                <w:rFonts w:cs="Arial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16D292DD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r w:rsidRPr="00937846">
              <w:rPr>
                <w:rFonts w:eastAsia="Cambria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gridSpan w:val="2"/>
          </w:tcPr>
          <w:p w14:paraId="2758D3AC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 w:val="16"/>
                <w:szCs w:val="16"/>
                <w:lang w:val="en-GB"/>
              </w:rPr>
            </w:pPr>
            <w:r w:rsidRPr="00937846">
              <w:rPr>
                <w:rFonts w:eastAsia="Cambria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5BD277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proofErr w:type="spellStart"/>
            <w:r w:rsidRPr="00937846">
              <w:rPr>
                <w:rFonts w:eastAsia="Cambria" w:cs="Arial"/>
                <w:sz w:val="16"/>
                <w:szCs w:val="16"/>
                <w:lang w:val="en-GB"/>
              </w:rPr>
              <w:t>n.a</w:t>
            </w:r>
            <w:proofErr w:type="spellEnd"/>
            <w:r w:rsidRPr="00937846">
              <w:rPr>
                <w:rFonts w:eastAsia="Cambria" w:cs="Arial"/>
                <w:sz w:val="16"/>
                <w:szCs w:val="16"/>
                <w:lang w:val="en-GB"/>
              </w:rPr>
              <w:t>.</w:t>
            </w:r>
          </w:p>
        </w:tc>
      </w:tr>
      <w:tr w:rsidR="00937846" w:rsidRPr="00937846" w14:paraId="62F38FE5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68210882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60" w:after="60" w:line="240" w:lineRule="auto"/>
              <w:ind w:left="340" w:right="0"/>
              <w:jc w:val="left"/>
              <w:rPr>
                <w:b w:val="0"/>
                <w:szCs w:val="24"/>
                <w:lang w:val="en-GB" w:eastAsia="de-DE"/>
              </w:rPr>
            </w:pPr>
            <w:r w:rsidRPr="00684BA6">
              <w:rPr>
                <w:b w:val="0"/>
                <w:szCs w:val="24"/>
                <w:lang w:val="en-GB" w:eastAsia="de-DE"/>
              </w:rPr>
              <w:t xml:space="preserve">EU and national public procurement rules were observed. </w:t>
            </w:r>
          </w:p>
          <w:p w14:paraId="5650520B" w14:textId="77777777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  <w:r w:rsidRPr="00684BA6">
              <w:rPr>
                <w:rFonts w:cs="Arial"/>
                <w:b w:val="0"/>
                <w:i/>
                <w:sz w:val="16"/>
                <w:szCs w:val="16"/>
                <w:lang w:val="en-US" w:eastAsia="de-DE"/>
              </w:rPr>
              <w:t>(e.g. complies with the applicable rules; publicity requirement were respected; The principles of transparency, non-discrimination, equal treatment and effective competition been complied with; There was a clear distinction between selection and award criteria in the evaluation of the bids; Selection and award criteria and required technical specifications and national permits are transparent, nondiscriminatory and ensure equal treatment; Decisions are properly documented and justified)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626862A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99CDD9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1EE6DB4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7F2B166F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34E4279F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60" w:after="6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lang w:val="en-US"/>
              </w:rPr>
              <w:t xml:space="preserve">Full documentation of the procurement procedure is available. (In case documentation is not required, please tick </w:t>
            </w:r>
            <w:proofErr w:type="spellStart"/>
            <w:proofErr w:type="gramStart"/>
            <w:r w:rsidRPr="00684BA6">
              <w:rPr>
                <w:rFonts w:eastAsia="Cambria" w:cs="Arial"/>
                <w:b w:val="0"/>
                <w:i/>
                <w:lang w:val="en-US"/>
              </w:rPr>
              <w:t>n.a</w:t>
            </w:r>
            <w:proofErr w:type="spellEnd"/>
            <w:proofErr w:type="gramEnd"/>
            <w:r w:rsidRPr="00684BA6">
              <w:rPr>
                <w:rFonts w:eastAsia="Cambria" w:cs="Arial"/>
                <w:b w:val="0"/>
                <w:i/>
                <w:lang w:val="en-US"/>
              </w:rPr>
              <w:t>.</w:t>
            </w:r>
            <w:r w:rsidRPr="00684BA6">
              <w:rPr>
                <w:rFonts w:eastAsia="Cambria" w:cs="Arial"/>
                <w:b w:val="0"/>
                <w:lang w:val="en-US"/>
              </w:rPr>
              <w:t xml:space="preserve"> and provide an explanation in the comments section).</w:t>
            </w:r>
          </w:p>
          <w:p w14:paraId="2FD0DA07" w14:textId="77777777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i/>
                <w:szCs w:val="18"/>
                <w:lang w:val="en-US" w:eastAsia="de-DE"/>
              </w:rPr>
            </w:pPr>
            <w:r w:rsidRPr="00684BA6">
              <w:rPr>
                <w:rFonts w:cs="Arial"/>
                <w:b w:val="0"/>
                <w:i/>
                <w:sz w:val="16"/>
                <w:szCs w:val="16"/>
                <w:lang w:val="en-US" w:eastAsia="de-DE"/>
              </w:rPr>
              <w:lastRenderedPageBreak/>
              <w:t>(e.g. initial cost estimation; publication notice; TORs; offers/quotes; evaluation/selection report; acceptance/rejection information; complaints; contract etc.</w:t>
            </w:r>
            <w:r w:rsidRPr="00684BA6">
              <w:rPr>
                <w:rFonts w:cs="Arial"/>
                <w:b w:val="0"/>
                <w:i/>
                <w:szCs w:val="18"/>
                <w:lang w:val="en-US" w:eastAsia="de-D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7A48FB28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CD82BB6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C11BA75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4DAFB3D8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33088AF3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GB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lastRenderedPageBreak/>
              <w:t xml:space="preserve">There is no evidence of artificial splitting of the contract objective/value in order to avoid public procurement requirements.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69C75209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EA3013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E7305BA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45135BCE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6893484C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i/>
                <w:szCs w:val="18"/>
                <w:lang w:val="en-US" w:eastAsia="de-DE"/>
              </w:rPr>
            </w:pPr>
            <w:r w:rsidRPr="00684BA6">
              <w:rPr>
                <w:rFonts w:cs="Arial"/>
                <w:b w:val="0"/>
                <w:lang w:val="en-US" w:eastAsia="de-DE"/>
              </w:rPr>
              <w:t>If applicable, any amendment of the contract is in line with the relevant public procurement rules without any relevant impact on the validity of the initial procurement procedure.</w:t>
            </w:r>
            <w:r w:rsidRPr="00684BA6">
              <w:rPr>
                <w:rFonts w:cs="Arial"/>
                <w:b w:val="0"/>
                <w:i/>
                <w:szCs w:val="18"/>
                <w:lang w:val="en-US" w:eastAsia="de-DE"/>
              </w:rPr>
              <w:t xml:space="preserve"> </w:t>
            </w:r>
          </w:p>
          <w:p w14:paraId="75497BD9" w14:textId="77777777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eastAsia="Cambria" w:cs="Arial"/>
                <w:b w:val="0"/>
                <w:sz w:val="24"/>
                <w:lang w:val="en-US"/>
              </w:rPr>
            </w:pPr>
            <w:r w:rsidRPr="00684BA6">
              <w:rPr>
                <w:rFonts w:cs="Arial"/>
                <w:b w:val="0"/>
                <w:i/>
                <w:sz w:val="16"/>
                <w:szCs w:val="16"/>
                <w:lang w:val="en-US" w:eastAsia="de-DE"/>
              </w:rPr>
              <w:t>(Only in case a contract amendment/extension has been issued)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1F2137C8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865C88D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53CB9B58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75A7EAA3" w14:textId="77777777" w:rsidTr="00715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bottom w:val="single" w:sz="4" w:space="0" w:color="7B7B7D" w:themeColor="accent4"/>
            </w:tcBorders>
          </w:tcPr>
          <w:p w14:paraId="12B5C9B3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40" w:after="40" w:line="240" w:lineRule="auto"/>
              <w:ind w:left="340" w:right="34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lang w:val="en-US"/>
              </w:rPr>
              <w:t xml:space="preserve">The decision not to carry out a procurement procedure is justified and documented. </w:t>
            </w:r>
          </w:p>
          <w:p w14:paraId="6307A607" w14:textId="77777777" w:rsidR="00937846" w:rsidRPr="00684BA6" w:rsidRDefault="00937846" w:rsidP="00937846">
            <w:p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  <w:r w:rsidRPr="00684BA6">
              <w:rPr>
                <w:rFonts w:cs="Arial"/>
                <w:b w:val="0"/>
                <w:i/>
                <w:sz w:val="16"/>
                <w:szCs w:val="16"/>
                <w:lang w:val="en-US" w:eastAsia="de-DE"/>
              </w:rPr>
              <w:t>(In case no procurement procedure was carried out)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7B7B7D" w:themeColor="accent4"/>
            </w:tcBorders>
          </w:tcPr>
          <w:p w14:paraId="377937C1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7B7B7D" w:themeColor="accent4"/>
            </w:tcBorders>
          </w:tcPr>
          <w:p w14:paraId="405CBF74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7B7B7D" w:themeColor="accent4"/>
            </w:tcBorders>
          </w:tcPr>
          <w:p w14:paraId="4129A4E6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71E38AB3" w14:textId="77777777" w:rsidTr="00715A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521" w:type="dxa"/>
            <w:gridSpan w:val="3"/>
            <w:tcBorders>
              <w:top w:val="single" w:sz="4" w:space="0" w:color="7B7B7D" w:themeColor="accent4"/>
            </w:tcBorders>
          </w:tcPr>
          <w:p w14:paraId="45E15C4F" w14:textId="77777777" w:rsidR="00937846" w:rsidRPr="00684BA6" w:rsidRDefault="00937846" w:rsidP="00937846">
            <w:pPr>
              <w:numPr>
                <w:ilvl w:val="0"/>
                <w:numId w:val="38"/>
              </w:numPr>
              <w:spacing w:before="40" w:after="40" w:line="240" w:lineRule="auto"/>
              <w:ind w:left="340" w:right="0"/>
              <w:jc w:val="left"/>
              <w:rPr>
                <w:rFonts w:cs="Arial"/>
                <w:b w:val="0"/>
                <w:lang w:val="en-US" w:eastAsia="de-DE"/>
              </w:rPr>
            </w:pPr>
            <w:r w:rsidRPr="00684BA6">
              <w:rPr>
                <w:b w:val="0"/>
                <w:lang w:val="en-GB" w:eastAsia="de-DE"/>
              </w:rPr>
              <w:t>Contract(s) is/are in line with the selected offer(s).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7B7B7D" w:themeColor="accent4"/>
              <w:left w:val="nil"/>
              <w:right w:val="nil"/>
            </w:tcBorders>
          </w:tcPr>
          <w:p w14:paraId="719F2E85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7B7B7D" w:themeColor="accent4"/>
              <w:left w:val="nil"/>
              <w:right w:val="nil"/>
            </w:tcBorders>
          </w:tcPr>
          <w:p w14:paraId="02C88CC5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51" w:type="dxa"/>
            <w:tcBorders>
              <w:top w:val="single" w:sz="4" w:space="0" w:color="7B7B7D" w:themeColor="accent4"/>
            </w:tcBorders>
          </w:tcPr>
          <w:p w14:paraId="62CD1D2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</w:tbl>
    <w:p w14:paraId="414CF4B5" w14:textId="77777777" w:rsidR="00937846" w:rsidRPr="00937846" w:rsidRDefault="00937846" w:rsidP="00937846">
      <w:pPr>
        <w:spacing w:before="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8"/>
          <w:szCs w:val="8"/>
          <w:lang w:val="en-GB"/>
        </w:rPr>
      </w:pPr>
    </w:p>
    <w:tbl>
      <w:tblPr>
        <w:tblStyle w:val="CE-TableExample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937846" w:rsidRPr="001247CD" w14:paraId="08CEEC56" w14:textId="77777777" w:rsidTr="00684BA6">
        <w:tc>
          <w:tcPr>
            <w:tcW w:w="9498" w:type="dxa"/>
          </w:tcPr>
          <w:p w14:paraId="40548B03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b/>
                <w:lang w:val="en-GB"/>
              </w:rPr>
              <w:t xml:space="preserve">Results, comments, recommendations, points to follow-up (if any). </w:t>
            </w:r>
          </w:p>
          <w:p w14:paraId="0665C1F8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i/>
                <w:lang w:val="en-GB"/>
              </w:rPr>
              <w:t>NOTE: deductions (if any) are allocated to the relevant budget lines</w:t>
            </w:r>
          </w:p>
        </w:tc>
      </w:tr>
      <w:tr w:rsidR="00937846" w:rsidRPr="001247CD" w14:paraId="04007C49" w14:textId="77777777" w:rsidTr="00684BA6">
        <w:tc>
          <w:tcPr>
            <w:tcW w:w="9498" w:type="dxa"/>
          </w:tcPr>
          <w:p w14:paraId="054D5D49" w14:textId="77777777" w:rsidR="00937846" w:rsidRPr="00937846" w:rsidRDefault="00937846" w:rsidP="00937846">
            <w:pPr>
              <w:spacing w:before="80" w:after="4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</w:p>
        </w:tc>
      </w:tr>
    </w:tbl>
    <w:p w14:paraId="4142EACF" w14:textId="77777777" w:rsidR="00715AC3" w:rsidRDefault="00715AC3" w:rsidP="00715AC3">
      <w:pPr>
        <w:pStyle w:val="CE-StandardText"/>
        <w:rPr>
          <w:rFonts w:eastAsia="Cambria"/>
        </w:rPr>
      </w:pPr>
    </w:p>
    <w:p w14:paraId="20C741B0" w14:textId="77777777" w:rsidR="00715AC3" w:rsidRPr="00715AC3" w:rsidRDefault="00715AC3" w:rsidP="00715AC3">
      <w:pPr>
        <w:pStyle w:val="CE-StandardText"/>
        <w:rPr>
          <w:rFonts w:eastAsia="Cambria"/>
        </w:rPr>
      </w:pPr>
    </w:p>
    <w:p w14:paraId="21ACA9EE" w14:textId="73CB5591" w:rsidR="00937846" w:rsidRPr="00937846" w:rsidRDefault="00937846" w:rsidP="00875CCB">
      <w:pPr>
        <w:pStyle w:val="CE-Head3"/>
        <w:rPr>
          <w:rFonts w:eastAsia="Cambria"/>
        </w:rPr>
      </w:pPr>
      <w:proofErr w:type="gramStart"/>
      <w:r w:rsidRPr="00937846">
        <w:rPr>
          <w:rFonts w:eastAsia="Cambria"/>
        </w:rPr>
        <w:t>5.</w:t>
      </w:r>
      <w:r w:rsidR="00CB6F3A">
        <w:rPr>
          <w:rFonts w:eastAsia="Cambria"/>
        </w:rPr>
        <w:t>d</w:t>
      </w:r>
      <w:proofErr w:type="gramEnd"/>
      <w:r w:rsidRPr="00937846">
        <w:rPr>
          <w:rFonts w:eastAsia="Cambria"/>
        </w:rPr>
        <w:t>.</w:t>
      </w:r>
      <w:r w:rsidRPr="00937846">
        <w:rPr>
          <w:rFonts w:eastAsia="Cambria"/>
        </w:rPr>
        <w:tab/>
        <w:t xml:space="preserve">Contracting amounts above the threshold set by the applicable EU or national rules </w:t>
      </w:r>
      <w:r w:rsidRPr="00226DCD">
        <w:rPr>
          <w:rFonts w:eastAsia="Cambria"/>
          <w:i/>
        </w:rPr>
        <w:t xml:space="preserve">(for institutions </w:t>
      </w:r>
      <w:r w:rsidRPr="00226DCD">
        <w:rPr>
          <w:rFonts w:eastAsia="Cambria"/>
          <w:i/>
          <w:u w:val="single"/>
        </w:rPr>
        <w:t>not falling under</w:t>
      </w:r>
      <w:r w:rsidRPr="00226DCD">
        <w:rPr>
          <w:rFonts w:eastAsia="Cambria"/>
          <w:i/>
        </w:rPr>
        <w:t xml:space="preserve"> the scope of application of the public procurement laws</w:t>
      </w:r>
      <w:r w:rsidR="00226DCD" w:rsidRPr="00226DCD">
        <w:rPr>
          <w:rFonts w:eastAsia="Cambria"/>
          <w:i/>
        </w:rPr>
        <w:t xml:space="preserve"> – to be duplicated and filled in for each contract</w:t>
      </w:r>
      <w:r w:rsidRPr="00226DCD">
        <w:rPr>
          <w:rFonts w:eastAsia="Cambria"/>
          <w:i/>
        </w:rPr>
        <w:t>)</w:t>
      </w:r>
    </w:p>
    <w:tbl>
      <w:tblPr>
        <w:tblStyle w:val="CE-Table1"/>
        <w:tblW w:w="9356" w:type="dxa"/>
        <w:tblLayout w:type="fixed"/>
        <w:tblLook w:val="01E0" w:firstRow="1" w:lastRow="1" w:firstColumn="1" w:lastColumn="1" w:noHBand="0" w:noVBand="0"/>
      </w:tblPr>
      <w:tblGrid>
        <w:gridCol w:w="3966"/>
        <w:gridCol w:w="1843"/>
        <w:gridCol w:w="712"/>
        <w:gridCol w:w="280"/>
        <w:gridCol w:w="712"/>
        <w:gridCol w:w="281"/>
        <w:gridCol w:w="711"/>
        <w:gridCol w:w="851"/>
      </w:tblGrid>
      <w:tr w:rsidR="00937846" w:rsidRPr="00937846" w14:paraId="60138328" w14:textId="77777777" w:rsidTr="0068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6" w:type="dxa"/>
          </w:tcPr>
          <w:p w14:paraId="172FC971" w14:textId="77777777" w:rsidR="00715AC3" w:rsidRDefault="00715AC3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US"/>
              </w:rPr>
            </w:pPr>
          </w:p>
          <w:p w14:paraId="77FFC5C8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/>
                <w:lang w:val="en-GB"/>
              </w:rPr>
              <w:t xml:space="preserve">Title of the procurement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390" w:type="dxa"/>
            <w:gridSpan w:val="7"/>
          </w:tcPr>
          <w:p w14:paraId="2A537DF2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937846" w14:paraId="76999BA2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679B71FE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Name of contractor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</w:tcPr>
          <w:p w14:paraId="5170FCA8" w14:textId="77777777" w:rsidR="00937846" w:rsidRPr="0093784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937846" w14:paraId="66F8A7B0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7DF4978D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The value of the procured, works, goods or services is above the EU threshold.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3"/>
          </w:tcPr>
          <w:p w14:paraId="2B66E63F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5" w:type="dxa"/>
            <w:gridSpan w:val="4"/>
          </w:tcPr>
          <w:p w14:paraId="259BD9A0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no</w:t>
            </w:r>
          </w:p>
        </w:tc>
      </w:tr>
      <w:tr w:rsidR="00937846" w:rsidRPr="00937846" w14:paraId="0DBD5444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6C45FF99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Type of tender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46B89AA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works</w:t>
            </w:r>
          </w:p>
        </w:tc>
        <w:tc>
          <w:tcPr>
            <w:tcW w:w="1985" w:type="dxa"/>
            <w:gridSpan w:val="4"/>
          </w:tcPr>
          <w:p w14:paraId="3C8D2CFA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 xml:space="preserve">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2" w:type="dxa"/>
            <w:gridSpan w:val="2"/>
          </w:tcPr>
          <w:p w14:paraId="0F035415" w14:textId="77777777" w:rsidR="00937846" w:rsidRPr="00937846" w:rsidRDefault="00937846" w:rsidP="00684BA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  <w:r w:rsidRPr="00937846">
              <w:rPr>
                <w:rFonts w:eastAsia="Cambria" w:cs="Arial"/>
                <w:lang w:val="en-GB"/>
              </w:rPr>
              <w:t xml:space="preserve"> </w:t>
            </w:r>
            <w:r w:rsidRPr="00937846">
              <w:rPr>
                <w:rFonts w:eastAsia="Cambria"/>
                <w:lang w:val="en-GB"/>
              </w:rPr>
              <w:t>supply</w:t>
            </w:r>
          </w:p>
        </w:tc>
      </w:tr>
      <w:tr w:rsidR="00937846" w:rsidRPr="001247CD" w14:paraId="07B12D34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335675BE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Procurement </w:t>
            </w:r>
            <w:proofErr w:type="gramStart"/>
            <w:r w:rsidRPr="00684BA6">
              <w:rPr>
                <w:rFonts w:eastAsia="Cambria"/>
                <w:b w:val="0"/>
                <w:lang w:val="en-GB"/>
              </w:rPr>
              <w:t>procedure chosen</w:t>
            </w:r>
            <w:proofErr w:type="gramEnd"/>
            <w:r w:rsidRPr="00684BA6">
              <w:rPr>
                <w:rFonts w:eastAsia="Cambria"/>
                <w:b w:val="0"/>
                <w:lang w:val="en-GB"/>
              </w:rPr>
              <w:t xml:space="preserve"> (open, restricted, negotiated, direct contracting, etc.).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</w:tcPr>
          <w:p w14:paraId="16EFC6FA" w14:textId="77777777" w:rsidR="00937846" w:rsidRPr="00937846" w:rsidRDefault="00937846" w:rsidP="00937846">
            <w:pPr>
              <w:spacing w:before="60" w:after="60" w:line="240" w:lineRule="auto"/>
              <w:ind w:left="0" w:right="0"/>
              <w:jc w:val="center"/>
              <w:rPr>
                <w:rFonts w:eastAsia="Cambria"/>
                <w:lang w:val="en-GB"/>
              </w:rPr>
            </w:pPr>
          </w:p>
        </w:tc>
      </w:tr>
      <w:tr w:rsidR="00937846" w:rsidRPr="001247CD" w14:paraId="317A70B2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il"/>
            </w:tcBorders>
          </w:tcPr>
          <w:p w14:paraId="331FE933" w14:textId="77777777" w:rsidR="00937846" w:rsidRPr="00684BA6" w:rsidRDefault="00937846" w:rsidP="00937846">
            <w:pPr>
              <w:spacing w:before="60" w:after="60" w:line="240" w:lineRule="auto"/>
              <w:ind w:left="0" w:right="0"/>
              <w:jc w:val="left"/>
              <w:rPr>
                <w:rFonts w:eastAsia="Cambria"/>
                <w:b w:val="0"/>
                <w:lang w:val="en-GB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Channels/means chosen for publication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0" w:type="dxa"/>
            <w:gridSpan w:val="7"/>
            <w:tcBorders>
              <w:top w:val="nil"/>
            </w:tcBorders>
          </w:tcPr>
          <w:p w14:paraId="6A42240A" w14:textId="77777777" w:rsidR="00937846" w:rsidRPr="00684BA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b w:val="0"/>
                <w:lang w:val="en-GB"/>
              </w:rPr>
            </w:pPr>
          </w:p>
          <w:p w14:paraId="066D7DA9" w14:textId="77777777" w:rsidR="00937846" w:rsidRPr="00684BA6" w:rsidRDefault="00937846" w:rsidP="00937846">
            <w:pPr>
              <w:spacing w:before="0" w:after="60" w:line="240" w:lineRule="auto"/>
              <w:ind w:left="0" w:right="0"/>
              <w:jc w:val="center"/>
              <w:rPr>
                <w:rFonts w:eastAsia="Cambria"/>
                <w:b w:val="0"/>
                <w:lang w:val="en-GB"/>
              </w:rPr>
            </w:pPr>
          </w:p>
        </w:tc>
      </w:tr>
      <w:tr w:rsidR="00937846" w:rsidRPr="00937846" w14:paraId="420C1530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 w:val="restart"/>
          </w:tcPr>
          <w:p w14:paraId="41422E43" w14:textId="77777777" w:rsidR="00937846" w:rsidRPr="00937846" w:rsidRDefault="00937846" w:rsidP="00933448">
            <w:pPr>
              <w:spacing w:before="0" w:line="240" w:lineRule="auto"/>
              <w:ind w:left="0" w:right="0"/>
              <w:jc w:val="left"/>
              <w:rPr>
                <w:rFonts w:eastAsia="Cambria" w:cs="Arial"/>
                <w:sz w:val="24"/>
                <w:lang w:val="en-US"/>
              </w:rPr>
            </w:pPr>
            <w:r w:rsidRPr="00933448">
              <w:rPr>
                <w:rFonts w:eastAsia="Cambria"/>
                <w:caps/>
                <w:color w:val="7E93A5" w:themeColor="background2"/>
                <w:sz w:val="22"/>
                <w:lang w:val="en-GB"/>
              </w:rPr>
              <w:t xml:space="preserve">Verifications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gridSpan w:val="5"/>
          </w:tcPr>
          <w:p w14:paraId="22F592C3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/>
                <w:sz w:val="16"/>
                <w:szCs w:val="16"/>
                <w:lang w:val="en-GB"/>
              </w:rPr>
              <w:t xml:space="preserve">Confirmed </w:t>
            </w:r>
          </w:p>
        </w:tc>
      </w:tr>
      <w:tr w:rsidR="00937846" w:rsidRPr="00937846" w14:paraId="4BF42772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</w:tcPr>
          <w:p w14:paraId="64959DD0" w14:textId="77777777" w:rsidR="00937846" w:rsidRPr="00937846" w:rsidRDefault="00937846" w:rsidP="00937846">
            <w:pPr>
              <w:spacing w:before="40" w:after="40" w:line="240" w:lineRule="auto"/>
              <w:ind w:left="0" w:right="0"/>
              <w:jc w:val="left"/>
              <w:rPr>
                <w:rFonts w:cs="Arial"/>
                <w:lang w:val="en-US"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5AD42A6C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r w:rsidRPr="00937846">
              <w:rPr>
                <w:rFonts w:eastAsia="Cambria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gridSpan w:val="2"/>
          </w:tcPr>
          <w:p w14:paraId="186C66BA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sz w:val="16"/>
                <w:szCs w:val="16"/>
                <w:lang w:val="en-GB"/>
              </w:rPr>
            </w:pPr>
            <w:r w:rsidRPr="00937846">
              <w:rPr>
                <w:rFonts w:eastAsia="Cambria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1AD99D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sz w:val="16"/>
                <w:szCs w:val="16"/>
                <w:lang w:val="en-GB"/>
              </w:rPr>
            </w:pPr>
            <w:proofErr w:type="spellStart"/>
            <w:r w:rsidRPr="00937846">
              <w:rPr>
                <w:rFonts w:eastAsia="Cambria" w:cs="Arial"/>
                <w:sz w:val="16"/>
                <w:szCs w:val="16"/>
                <w:lang w:val="en-GB"/>
              </w:rPr>
              <w:t>n.a</w:t>
            </w:r>
            <w:proofErr w:type="spellEnd"/>
            <w:r w:rsidRPr="00937846">
              <w:rPr>
                <w:rFonts w:eastAsia="Cambria" w:cs="Arial"/>
                <w:sz w:val="16"/>
                <w:szCs w:val="16"/>
                <w:lang w:val="en-GB"/>
              </w:rPr>
              <w:t>.</w:t>
            </w:r>
          </w:p>
        </w:tc>
      </w:tr>
      <w:tr w:rsidR="00937846" w:rsidRPr="00937846" w14:paraId="2E003EC6" w14:textId="77777777" w:rsidTr="00684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709A25CA" w14:textId="5A9E871F" w:rsidR="00937846" w:rsidRPr="00684BA6" w:rsidRDefault="00937846" w:rsidP="00937846">
            <w:pPr>
              <w:numPr>
                <w:ilvl w:val="0"/>
                <w:numId w:val="39"/>
              </w:numPr>
              <w:spacing w:before="60" w:after="6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lang w:val="en-US"/>
              </w:rPr>
              <w:t xml:space="preserve">The competitive procedure followed by the beneficiary is </w:t>
            </w:r>
            <w:r w:rsidR="00F84B23">
              <w:rPr>
                <w:rFonts w:eastAsia="Cambria" w:cs="Arial"/>
                <w:b w:val="0"/>
                <w:lang w:val="en-US"/>
              </w:rPr>
              <w:t>comparable</w:t>
            </w:r>
            <w:r w:rsidR="00F84B23" w:rsidRPr="00684BA6">
              <w:rPr>
                <w:rFonts w:eastAsia="Cambria" w:cs="Arial"/>
                <w:b w:val="0"/>
                <w:lang w:val="en-US"/>
              </w:rPr>
              <w:t xml:space="preserve"> </w:t>
            </w:r>
            <w:r w:rsidRPr="00684BA6">
              <w:rPr>
                <w:rFonts w:eastAsia="Cambria" w:cs="Arial"/>
                <w:b w:val="0"/>
                <w:lang w:val="en-US"/>
              </w:rPr>
              <w:t>to the applicable EU or national public procurement norms.</w:t>
            </w:r>
          </w:p>
          <w:p w14:paraId="64A8AD5E" w14:textId="77777777" w:rsidR="00937846" w:rsidRPr="00684BA6" w:rsidRDefault="00937846" w:rsidP="00937846">
            <w:pPr>
              <w:spacing w:before="60" w:after="6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i/>
                <w:sz w:val="16"/>
                <w:szCs w:val="16"/>
                <w:lang w:val="en-US"/>
              </w:rPr>
              <w:t xml:space="preserve">(refer to the fact-sheet “Purchase form for the procurement of goods and services by beneficiaries not falling under the scope of the public procurement laws” available on the </w:t>
            </w:r>
            <w:proofErr w:type="spellStart"/>
            <w:r w:rsidRPr="00684BA6">
              <w:rPr>
                <w:rFonts w:eastAsia="Cambria" w:cs="Arial"/>
                <w:b w:val="0"/>
                <w:i/>
                <w:sz w:val="16"/>
                <w:szCs w:val="16"/>
                <w:lang w:val="en-US"/>
              </w:rPr>
              <w:t>programme</w:t>
            </w:r>
            <w:proofErr w:type="spellEnd"/>
            <w:r w:rsidRPr="00684BA6">
              <w:rPr>
                <w:rFonts w:eastAsia="Cambria" w:cs="Arial"/>
                <w:b w:val="0"/>
                <w:i/>
                <w:sz w:val="16"/>
                <w:szCs w:val="16"/>
                <w:lang w:val="en-US"/>
              </w:rPr>
              <w:t xml:space="preserve"> website)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360FDA1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92DC619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C157398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188ACC9B" w14:textId="77777777" w:rsidTr="0068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</w:tcPr>
          <w:p w14:paraId="5A750061" w14:textId="02B3BE62" w:rsidR="00937846" w:rsidRPr="00684BA6" w:rsidRDefault="00937846" w:rsidP="00937846">
            <w:pPr>
              <w:numPr>
                <w:ilvl w:val="0"/>
                <w:numId w:val="39"/>
              </w:numPr>
              <w:spacing w:before="60" w:after="6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lang w:val="en-US"/>
              </w:rPr>
              <w:t>Full documentation of the procurement procedure is available</w:t>
            </w:r>
            <w:r w:rsidR="00A10A22">
              <w:rPr>
                <w:rFonts w:eastAsia="Cambria" w:cs="Arial"/>
                <w:b w:val="0"/>
                <w:lang w:val="en-US"/>
              </w:rPr>
              <w:t xml:space="preserve"> (including the purchase form)</w:t>
            </w:r>
            <w:r w:rsidRPr="00684BA6">
              <w:rPr>
                <w:rFonts w:eastAsia="Cambria" w:cs="Arial"/>
                <w:b w:val="0"/>
                <w:lang w:val="en-US"/>
              </w:rPr>
              <w:t xml:space="preserve">. (In case documentation is not required, please tick </w:t>
            </w:r>
            <w:proofErr w:type="spellStart"/>
            <w:proofErr w:type="gramStart"/>
            <w:r w:rsidRPr="00684BA6">
              <w:rPr>
                <w:rFonts w:eastAsia="Cambria" w:cs="Arial"/>
                <w:b w:val="0"/>
                <w:lang w:val="en-US"/>
              </w:rPr>
              <w:t>n.a</w:t>
            </w:r>
            <w:proofErr w:type="spellEnd"/>
            <w:proofErr w:type="gramEnd"/>
            <w:r w:rsidRPr="00684BA6">
              <w:rPr>
                <w:rFonts w:eastAsia="Cambria" w:cs="Arial"/>
                <w:b w:val="0"/>
                <w:lang w:val="en-US"/>
              </w:rPr>
              <w:t>. and provide an explanation in the comments section).</w:t>
            </w:r>
          </w:p>
          <w:p w14:paraId="559C69E5" w14:textId="77777777" w:rsidR="00937846" w:rsidRPr="00684BA6" w:rsidDel="00240006" w:rsidRDefault="00937846" w:rsidP="00937846">
            <w:pPr>
              <w:spacing w:before="60" w:after="60" w:line="240" w:lineRule="auto"/>
              <w:ind w:left="340" w:right="0"/>
              <w:jc w:val="left"/>
              <w:rPr>
                <w:rFonts w:eastAsia="Cambria" w:cs="Arial"/>
                <w:b w:val="0"/>
                <w:sz w:val="16"/>
                <w:szCs w:val="16"/>
                <w:highlight w:val="yellow"/>
                <w:u w:val="single"/>
                <w:lang w:val="en-US"/>
              </w:rPr>
            </w:pPr>
            <w:r w:rsidRPr="00684BA6">
              <w:rPr>
                <w:rFonts w:eastAsia="Cambria" w:cs="Arial"/>
                <w:b w:val="0"/>
                <w:i/>
                <w:sz w:val="16"/>
                <w:szCs w:val="16"/>
                <w:lang w:val="en-US"/>
              </w:rPr>
              <w:t>(e.g. initial cost estimation; publication notice; TORs; offers/quotes; evaluation/selection report; acceptance/rejection information; complaints; contract etc.</w:t>
            </w:r>
            <w:r w:rsidRPr="00684BA6">
              <w:rPr>
                <w:rFonts w:eastAsia="Cambria" w:cs="Arial"/>
                <w:b w:val="0"/>
                <w:i/>
                <w:szCs w:val="18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14:paraId="6C975C2B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5B7BFA2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53F4D71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278DF372" w14:textId="77777777" w:rsidTr="00715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bottom w:val="single" w:sz="4" w:space="0" w:color="7B7B7D" w:themeColor="accent4"/>
            </w:tcBorders>
          </w:tcPr>
          <w:p w14:paraId="1FD82729" w14:textId="77777777" w:rsidR="00937846" w:rsidRPr="00684BA6" w:rsidRDefault="00937846" w:rsidP="00937846">
            <w:pPr>
              <w:numPr>
                <w:ilvl w:val="0"/>
                <w:numId w:val="39"/>
              </w:numPr>
              <w:spacing w:before="40" w:after="4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 w:cs="Arial"/>
                <w:b w:val="0"/>
                <w:lang w:val="en-US"/>
              </w:rPr>
              <w:t xml:space="preserve">There is no evidence of artificial splitting of the contract objective/value in order to avoid different procurement procedures.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4" w:space="0" w:color="7B7B7D" w:themeColor="accent4"/>
            </w:tcBorders>
          </w:tcPr>
          <w:p w14:paraId="426302FF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7B7B7D" w:themeColor="accent4"/>
            </w:tcBorders>
          </w:tcPr>
          <w:p w14:paraId="6B76C5D4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7B7B7D" w:themeColor="accent4"/>
            </w:tcBorders>
          </w:tcPr>
          <w:p w14:paraId="46904403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  <w:tr w:rsidR="00937846" w:rsidRPr="00937846" w14:paraId="6C5E8E2E" w14:textId="77777777" w:rsidTr="00715A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521" w:type="dxa"/>
            <w:gridSpan w:val="3"/>
            <w:tcBorders>
              <w:top w:val="single" w:sz="4" w:space="0" w:color="7B7B7D" w:themeColor="accent4"/>
            </w:tcBorders>
          </w:tcPr>
          <w:p w14:paraId="0BC1136A" w14:textId="77777777" w:rsidR="00937846" w:rsidRPr="00684BA6" w:rsidRDefault="00937846" w:rsidP="00937846">
            <w:pPr>
              <w:numPr>
                <w:ilvl w:val="0"/>
                <w:numId w:val="39"/>
              </w:numPr>
              <w:spacing w:before="40" w:after="40" w:line="240" w:lineRule="auto"/>
              <w:ind w:left="340" w:right="0"/>
              <w:jc w:val="left"/>
              <w:rPr>
                <w:rFonts w:eastAsia="Cambria" w:cs="Arial"/>
                <w:b w:val="0"/>
                <w:lang w:val="en-US"/>
              </w:rPr>
            </w:pPr>
            <w:r w:rsidRPr="00684BA6">
              <w:rPr>
                <w:rFonts w:eastAsia="Cambria"/>
                <w:b w:val="0"/>
                <w:lang w:val="en-GB"/>
              </w:rPr>
              <w:t xml:space="preserve">Contract(s) is/are in line with the selected offer(s).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7B7B7D" w:themeColor="accent4"/>
              <w:left w:val="nil"/>
              <w:right w:val="nil"/>
            </w:tcBorders>
          </w:tcPr>
          <w:p w14:paraId="0912896D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7B7B7D" w:themeColor="accent4"/>
              <w:left w:val="nil"/>
              <w:right w:val="nil"/>
            </w:tcBorders>
          </w:tcPr>
          <w:p w14:paraId="272ECBC1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51" w:type="dxa"/>
            <w:tcBorders>
              <w:top w:val="single" w:sz="4" w:space="0" w:color="7B7B7D" w:themeColor="accent4"/>
            </w:tcBorders>
          </w:tcPr>
          <w:p w14:paraId="494B6495" w14:textId="77777777" w:rsidR="00937846" w:rsidRPr="00937846" w:rsidRDefault="00937846" w:rsidP="00937846">
            <w:pPr>
              <w:spacing w:before="20" w:after="20" w:line="240" w:lineRule="auto"/>
              <w:ind w:left="0" w:right="0"/>
              <w:jc w:val="center"/>
              <w:rPr>
                <w:rFonts w:eastAsia="Cambria" w:cs="Arial"/>
                <w:lang w:val="en-GB"/>
              </w:rPr>
            </w:pPr>
            <w:r w:rsidRPr="00937846">
              <w:rPr>
                <w:rFonts w:eastAsia="Cambr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46">
              <w:rPr>
                <w:rFonts w:eastAsia="Cambria" w:cs="Arial"/>
                <w:lang w:val="en-GB"/>
              </w:rPr>
              <w:instrText xml:space="preserve"> FORMCHECKBOX </w:instrText>
            </w:r>
            <w:r w:rsidR="006324A4">
              <w:rPr>
                <w:rFonts w:eastAsia="Cambria" w:cs="Arial"/>
                <w:lang w:val="en-GB"/>
              </w:rPr>
            </w:r>
            <w:r w:rsidR="006324A4">
              <w:rPr>
                <w:rFonts w:eastAsia="Cambria" w:cs="Arial"/>
                <w:lang w:val="en-GB"/>
              </w:rPr>
              <w:fldChar w:fldCharType="separate"/>
            </w:r>
            <w:r w:rsidRPr="00937846">
              <w:rPr>
                <w:rFonts w:eastAsia="Cambria" w:cs="Arial"/>
                <w:lang w:val="en-GB"/>
              </w:rPr>
              <w:fldChar w:fldCharType="end"/>
            </w:r>
          </w:p>
        </w:tc>
      </w:tr>
    </w:tbl>
    <w:p w14:paraId="028163B1" w14:textId="77777777" w:rsidR="00937846" w:rsidRPr="00937846" w:rsidRDefault="00937846" w:rsidP="00937846">
      <w:pPr>
        <w:spacing w:before="0" w:line="240" w:lineRule="auto"/>
        <w:ind w:left="0" w:right="0"/>
        <w:jc w:val="left"/>
        <w:rPr>
          <w:rFonts w:ascii="Trebuchet MS" w:eastAsia="Cambria" w:hAnsi="Trebuchet MS" w:cs="Arial"/>
          <w:b/>
          <w:bCs/>
          <w:color w:val="0E4096"/>
          <w:sz w:val="8"/>
          <w:szCs w:val="8"/>
          <w:lang w:val="en-GB"/>
        </w:rPr>
      </w:pPr>
    </w:p>
    <w:tbl>
      <w:tblPr>
        <w:tblStyle w:val="CE-TableExample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937846" w:rsidRPr="001247CD" w14:paraId="4176D435" w14:textId="77777777" w:rsidTr="00684BA6">
        <w:tc>
          <w:tcPr>
            <w:tcW w:w="9498" w:type="dxa"/>
          </w:tcPr>
          <w:p w14:paraId="38DA1CD9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b/>
                <w:lang w:val="en-GB"/>
              </w:rPr>
              <w:t xml:space="preserve">Results, comments, recommendations, points to follow-up (if any). </w:t>
            </w:r>
          </w:p>
          <w:p w14:paraId="2291765F" w14:textId="77777777" w:rsidR="00937846" w:rsidRPr="00937846" w:rsidRDefault="00937846" w:rsidP="00937846">
            <w:pPr>
              <w:spacing w:before="80" w:after="8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  <w:r w:rsidRPr="00937846">
              <w:rPr>
                <w:rFonts w:eastAsia="Cambria"/>
                <w:i/>
                <w:lang w:val="en-GB"/>
              </w:rPr>
              <w:t>NOTE: deductions (if any) are allocated to the relevant budget lines.</w:t>
            </w:r>
          </w:p>
        </w:tc>
      </w:tr>
      <w:tr w:rsidR="00937846" w:rsidRPr="001247CD" w14:paraId="53C76671" w14:textId="77777777" w:rsidTr="00684BA6">
        <w:tc>
          <w:tcPr>
            <w:tcW w:w="9498" w:type="dxa"/>
          </w:tcPr>
          <w:p w14:paraId="06B7C9DA" w14:textId="77777777" w:rsidR="00937846" w:rsidRPr="00937846" w:rsidRDefault="00937846" w:rsidP="00937846">
            <w:pPr>
              <w:spacing w:before="80" w:after="40" w:line="240" w:lineRule="auto"/>
              <w:ind w:left="0" w:right="0"/>
              <w:jc w:val="left"/>
              <w:rPr>
                <w:rFonts w:eastAsia="Cambria"/>
                <w:b/>
                <w:lang w:val="en-GB"/>
              </w:rPr>
            </w:pPr>
          </w:p>
        </w:tc>
      </w:tr>
    </w:tbl>
    <w:p w14:paraId="3AD9CB65" w14:textId="77777777" w:rsidR="005E25E9" w:rsidRPr="005E25E9" w:rsidRDefault="005E25E9" w:rsidP="00A060A8">
      <w:pPr>
        <w:spacing w:before="0" w:line="240" w:lineRule="auto"/>
        <w:ind w:left="0" w:right="0"/>
        <w:jc w:val="left"/>
        <w:rPr>
          <w:rFonts w:ascii="Trebuchet MS" w:hAnsi="Trebuchet MS"/>
          <w:caps/>
          <w:color w:val="7E93A5" w:themeColor="background2"/>
          <w:spacing w:val="-20"/>
          <w:kern w:val="72"/>
          <w:sz w:val="60"/>
          <w:szCs w:val="76"/>
          <w:lang w:val="en-US"/>
          <w14:ligatures w14:val="standard"/>
        </w:rPr>
      </w:pPr>
    </w:p>
    <w:sectPr w:rsidR="005E25E9" w:rsidRPr="005E25E9" w:rsidSect="001168B5">
      <w:headerReference w:type="default" r:id="rId9"/>
      <w:footerReference w:type="default" r:id="rId10"/>
      <w:headerReference w:type="first" r:id="rId11"/>
      <w:pgSz w:w="11906" w:h="16838" w:code="9"/>
      <w:pgMar w:top="2380" w:right="851" w:bottom="1843" w:left="1559" w:header="0" w:footer="0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43F08B" w15:done="0"/>
  <w15:commentEx w15:paraId="6E74864F" w15:done="0"/>
  <w15:commentEx w15:paraId="1EF9E513" w15:done="0"/>
  <w15:commentEx w15:paraId="3B5A7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8956" w14:textId="77777777" w:rsidR="006324A4" w:rsidRDefault="006324A4" w:rsidP="00877C37">
      <w:r>
        <w:separator/>
      </w:r>
    </w:p>
    <w:p w14:paraId="7D279B2E" w14:textId="77777777" w:rsidR="006324A4" w:rsidRDefault="006324A4"/>
    <w:p w14:paraId="737925F9" w14:textId="77777777" w:rsidR="006324A4" w:rsidRDefault="006324A4"/>
    <w:p w14:paraId="09B2C1D0" w14:textId="77777777" w:rsidR="006324A4" w:rsidRDefault="006324A4"/>
  </w:endnote>
  <w:endnote w:type="continuationSeparator" w:id="0">
    <w:p w14:paraId="12CF1338" w14:textId="77777777" w:rsidR="006324A4" w:rsidRDefault="006324A4" w:rsidP="00877C37">
      <w:r>
        <w:continuationSeparator/>
      </w:r>
    </w:p>
    <w:p w14:paraId="2D211633" w14:textId="77777777" w:rsidR="006324A4" w:rsidRDefault="006324A4"/>
    <w:p w14:paraId="695D679C" w14:textId="77777777" w:rsidR="006324A4" w:rsidRDefault="006324A4"/>
    <w:p w14:paraId="3F5CB7A5" w14:textId="77777777" w:rsidR="006324A4" w:rsidRDefault="00632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8974"/>
      <w:docPartObj>
        <w:docPartGallery w:val="Page Numbers (Bottom of Page)"/>
        <w:docPartUnique/>
      </w:docPartObj>
    </w:sdtPr>
    <w:sdtEndPr/>
    <w:sdtContent>
      <w:p w14:paraId="7188CF6E" w14:textId="77777777" w:rsidR="007731DE" w:rsidRDefault="007731DE" w:rsidP="00DA073A">
        <w:pPr>
          <w:pStyle w:val="CE-Head3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7CD" w:rsidRPr="001247CD">
          <w:rPr>
            <w:noProof/>
            <w:lang w:val="de-DE"/>
          </w:rPr>
          <w:t>5</w:t>
        </w:r>
        <w:r>
          <w:fldChar w:fldCharType="end"/>
        </w:r>
      </w:p>
    </w:sdtContent>
  </w:sdt>
  <w:p w14:paraId="288A9C95" w14:textId="77777777" w:rsidR="007731DE" w:rsidRDefault="007731DE" w:rsidP="00DA073A">
    <w:pPr>
      <w:pStyle w:val="Footer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6CDD" w14:textId="77777777" w:rsidR="006324A4" w:rsidRPr="00924079" w:rsidRDefault="006324A4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14:paraId="06EA340E" w14:textId="77777777" w:rsidR="006324A4" w:rsidRDefault="006324A4" w:rsidP="00924079">
      <w:pPr>
        <w:ind w:left="0"/>
      </w:pPr>
    </w:p>
    <w:p w14:paraId="61DBA16D" w14:textId="77777777" w:rsidR="006324A4" w:rsidRDefault="006324A4"/>
    <w:p w14:paraId="41CCB01C" w14:textId="77777777" w:rsidR="006324A4" w:rsidRDefault="006324A4"/>
    <w:p w14:paraId="648CF005" w14:textId="77777777" w:rsidR="006324A4" w:rsidRDefault="006324A4"/>
  </w:footnote>
  <w:footnote w:type="continuationSeparator" w:id="0">
    <w:p w14:paraId="07CF73BA" w14:textId="77777777" w:rsidR="006324A4" w:rsidRDefault="006324A4" w:rsidP="00924079">
      <w:pPr>
        <w:ind w:left="0"/>
      </w:pPr>
      <w:r>
        <w:continuationSeparator/>
      </w:r>
    </w:p>
    <w:p w14:paraId="3C975F37" w14:textId="77777777" w:rsidR="006324A4" w:rsidRDefault="006324A4"/>
    <w:p w14:paraId="162CA71C" w14:textId="77777777" w:rsidR="006324A4" w:rsidRDefault="006324A4"/>
    <w:p w14:paraId="4A13A6C0" w14:textId="77777777" w:rsidR="006324A4" w:rsidRDefault="006324A4"/>
  </w:footnote>
  <w:footnote w:type="continuationNotice" w:id="1">
    <w:p w14:paraId="2DF9B2F5" w14:textId="77777777" w:rsidR="006324A4" w:rsidRDefault="006324A4">
      <w:pPr>
        <w:spacing w:before="0" w:line="240" w:lineRule="auto"/>
      </w:pPr>
    </w:p>
    <w:p w14:paraId="5F532AA8" w14:textId="77777777" w:rsidR="006324A4" w:rsidRDefault="006324A4"/>
    <w:p w14:paraId="14985E14" w14:textId="77777777" w:rsidR="006324A4" w:rsidRDefault="006324A4"/>
    <w:p w14:paraId="345DE016" w14:textId="77777777" w:rsidR="006324A4" w:rsidRDefault="006324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377F" w14:textId="77777777" w:rsidR="007731DE" w:rsidRPr="00C8321B" w:rsidRDefault="007731DE" w:rsidP="00C8321B">
    <w:pPr>
      <w:pStyle w:val="Header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251D77BE" wp14:editId="768786E4">
          <wp:simplePos x="0" y="0"/>
          <wp:positionH relativeFrom="column">
            <wp:posOffset>-383819</wp:posOffset>
          </wp:positionH>
          <wp:positionV relativeFrom="paragraph">
            <wp:posOffset>130810</wp:posOffset>
          </wp:positionV>
          <wp:extent cx="6919812" cy="1720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9812" cy="17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C081" w14:textId="77777777" w:rsidR="007731DE" w:rsidRDefault="007731DE"/>
  <w:p w14:paraId="54EAE5A3" w14:textId="77777777" w:rsidR="007731DE" w:rsidRDefault="007731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61D6" w14:textId="77777777" w:rsidR="007731DE" w:rsidRDefault="007731DE" w:rsidP="00D41EE5">
    <w:pPr>
      <w:pStyle w:val="Header"/>
      <w:ind w:left="-1559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84ED4FC" wp14:editId="134DA0A4">
          <wp:simplePos x="0" y="0"/>
          <wp:positionH relativeFrom="column">
            <wp:posOffset>-989965</wp:posOffset>
          </wp:positionH>
          <wp:positionV relativeFrom="paragraph">
            <wp:posOffset>44605</wp:posOffset>
          </wp:positionV>
          <wp:extent cx="7549375" cy="10678714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75" cy="1067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03"/>
    <w:multiLevelType w:val="hybridMultilevel"/>
    <w:tmpl w:val="BE5A357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C5C"/>
    <w:multiLevelType w:val="hybridMultilevel"/>
    <w:tmpl w:val="04DCAAA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Heading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2F2320"/>
    <w:multiLevelType w:val="hybridMultilevel"/>
    <w:tmpl w:val="8FFC30C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1CE2"/>
    <w:multiLevelType w:val="hybridMultilevel"/>
    <w:tmpl w:val="5C0EE2F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53A"/>
    <w:multiLevelType w:val="hybridMultilevel"/>
    <w:tmpl w:val="652E0C1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24613E"/>
    <w:multiLevelType w:val="hybridMultilevel"/>
    <w:tmpl w:val="3B186FC2"/>
    <w:lvl w:ilvl="0" w:tplc="6316D04E">
      <w:start w:val="1"/>
      <w:numFmt w:val="decimal"/>
      <w:pStyle w:val="Heading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5912734"/>
    <w:multiLevelType w:val="multilevel"/>
    <w:tmpl w:val="A4606672"/>
    <w:styleLink w:val="CE-Lists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5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F3F1B5B"/>
    <w:multiLevelType w:val="hybridMultilevel"/>
    <w:tmpl w:val="56AC5D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43DC"/>
    <w:multiLevelType w:val="hybridMultilevel"/>
    <w:tmpl w:val="0B86790A"/>
    <w:lvl w:ilvl="0" w:tplc="0C070011">
      <w:start w:val="1"/>
      <w:numFmt w:val="decimal"/>
      <w:lvlText w:val="%1)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58D6EED"/>
    <w:multiLevelType w:val="hybridMultilevel"/>
    <w:tmpl w:val="A3E2B8C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134E"/>
    <w:multiLevelType w:val="hybridMultilevel"/>
    <w:tmpl w:val="5DECBA00"/>
    <w:lvl w:ilvl="0" w:tplc="0407000F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0423FD"/>
    <w:multiLevelType w:val="hybridMultilevel"/>
    <w:tmpl w:val="CF5813D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3D26A0D"/>
    <w:multiLevelType w:val="hybridMultilevel"/>
    <w:tmpl w:val="7EC8314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72BB3"/>
    <w:multiLevelType w:val="hybridMultilevel"/>
    <w:tmpl w:val="745EB9D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53BF"/>
    <w:multiLevelType w:val="hybridMultilevel"/>
    <w:tmpl w:val="A3E2B8C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>
    <w:nsid w:val="6CB7055F"/>
    <w:multiLevelType w:val="hybridMultilevel"/>
    <w:tmpl w:val="C17AE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A3503"/>
    <w:multiLevelType w:val="hybridMultilevel"/>
    <w:tmpl w:val="FA5C20E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85DC1"/>
    <w:multiLevelType w:val="hybridMultilevel"/>
    <w:tmpl w:val="73D2D046"/>
    <w:lvl w:ilvl="0" w:tplc="11961190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0">
    <w:nsid w:val="7E043F20"/>
    <w:multiLevelType w:val="hybridMultilevel"/>
    <w:tmpl w:val="C31EE0B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364B"/>
    <w:multiLevelType w:val="hybridMultilevel"/>
    <w:tmpl w:val="616869B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38"/>
  </w:num>
  <w:num w:numId="5">
    <w:abstractNumId w:val="30"/>
  </w:num>
  <w:num w:numId="6">
    <w:abstractNumId w:val="17"/>
  </w:num>
  <w:num w:numId="7">
    <w:abstractNumId w:val="19"/>
  </w:num>
  <w:num w:numId="8">
    <w:abstractNumId w:val="26"/>
  </w:num>
  <w:num w:numId="9">
    <w:abstractNumId w:val="4"/>
  </w:num>
  <w:num w:numId="10">
    <w:abstractNumId w:val="31"/>
  </w:num>
  <w:num w:numId="11">
    <w:abstractNumId w:val="23"/>
  </w:num>
  <w:num w:numId="12">
    <w:abstractNumId w:val="13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15"/>
  </w:num>
  <w:num w:numId="18">
    <w:abstractNumId w:val="37"/>
  </w:num>
  <w:num w:numId="19">
    <w:abstractNumId w:val="5"/>
  </w:num>
  <w:num w:numId="20">
    <w:abstractNumId w:val="25"/>
  </w:num>
  <w:num w:numId="21">
    <w:abstractNumId w:val="8"/>
  </w:num>
  <w:num w:numId="22">
    <w:abstractNumId w:val="39"/>
  </w:num>
  <w:num w:numId="23">
    <w:abstractNumId w:val="32"/>
  </w:num>
  <w:num w:numId="24">
    <w:abstractNumId w:val="14"/>
  </w:num>
  <w:num w:numId="25">
    <w:abstractNumId w:val="7"/>
  </w:num>
  <w:num w:numId="26">
    <w:abstractNumId w:val="6"/>
  </w:num>
  <w:num w:numId="27">
    <w:abstractNumId w:val="33"/>
  </w:num>
  <w:num w:numId="28">
    <w:abstractNumId w:val="34"/>
  </w:num>
  <w:num w:numId="29">
    <w:abstractNumId w:val="21"/>
  </w:num>
  <w:num w:numId="30">
    <w:abstractNumId w:val="41"/>
  </w:num>
  <w:num w:numId="31">
    <w:abstractNumId w:val="0"/>
  </w:num>
  <w:num w:numId="32">
    <w:abstractNumId w:val="1"/>
  </w:num>
  <w:num w:numId="33">
    <w:abstractNumId w:val="9"/>
  </w:num>
  <w:num w:numId="34">
    <w:abstractNumId w:val="20"/>
  </w:num>
  <w:num w:numId="35">
    <w:abstractNumId w:val="10"/>
  </w:num>
  <w:num w:numId="36">
    <w:abstractNumId w:val="28"/>
  </w:num>
  <w:num w:numId="37">
    <w:abstractNumId w:val="22"/>
  </w:num>
  <w:num w:numId="38">
    <w:abstractNumId w:val="24"/>
  </w:num>
  <w:num w:numId="39">
    <w:abstractNumId w:val="27"/>
  </w:num>
  <w:num w:numId="40">
    <w:abstractNumId w:val="11"/>
  </w:num>
  <w:num w:numId="41">
    <w:abstractNumId w:val="40"/>
  </w:num>
  <w:num w:numId="42">
    <w:abstractNumId w:val="29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rarese Luca">
    <w15:presenceInfo w15:providerId="AD" w15:userId="S-1-5-21-725345543-842925246-2146567445-3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9"/>
  <w:hyphenationZone w:val="425"/>
  <w:defaultTableStyle w:val="CE-Table1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AEB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8B5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7CD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91"/>
    <w:rsid w:val="00186AE4"/>
    <w:rsid w:val="00186E7E"/>
    <w:rsid w:val="00187758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BED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DC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3F4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867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0DA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3F09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2F2B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0A3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296A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3CF1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2C2A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3680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5E28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767"/>
    <w:rsid w:val="005D5B5A"/>
    <w:rsid w:val="005D5F3A"/>
    <w:rsid w:val="005D65B5"/>
    <w:rsid w:val="005D6AF0"/>
    <w:rsid w:val="005D70AE"/>
    <w:rsid w:val="005E0143"/>
    <w:rsid w:val="005E03A4"/>
    <w:rsid w:val="005E0634"/>
    <w:rsid w:val="005E06BF"/>
    <w:rsid w:val="005E1B5E"/>
    <w:rsid w:val="005E1C22"/>
    <w:rsid w:val="005E25E9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24A4"/>
    <w:rsid w:val="00634CF7"/>
    <w:rsid w:val="0063505C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2D15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126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BA6"/>
    <w:rsid w:val="00684C53"/>
    <w:rsid w:val="0068517B"/>
    <w:rsid w:val="00690034"/>
    <w:rsid w:val="0069051C"/>
    <w:rsid w:val="00690E9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6C60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0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AC3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1DE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3AE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3B94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43D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5007"/>
    <w:rsid w:val="00875CC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96EBC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44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37846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F5F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0A8"/>
    <w:rsid w:val="00A064AB"/>
    <w:rsid w:val="00A0680F"/>
    <w:rsid w:val="00A068D0"/>
    <w:rsid w:val="00A06F1D"/>
    <w:rsid w:val="00A07146"/>
    <w:rsid w:val="00A07D18"/>
    <w:rsid w:val="00A100D7"/>
    <w:rsid w:val="00A104A9"/>
    <w:rsid w:val="00A10A22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C3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786B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273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9C3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1B1A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6EEA"/>
    <w:rsid w:val="00BF75A4"/>
    <w:rsid w:val="00C00143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6F7"/>
    <w:rsid w:val="00C17A64"/>
    <w:rsid w:val="00C2162F"/>
    <w:rsid w:val="00C21E1D"/>
    <w:rsid w:val="00C21EB8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B6F3A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CF694D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6230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486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B23"/>
    <w:rsid w:val="00F84EA8"/>
    <w:rsid w:val="00F853EC"/>
    <w:rsid w:val="00F86DBA"/>
    <w:rsid w:val="00F87F45"/>
    <w:rsid w:val="00F9024D"/>
    <w:rsid w:val="00F906AB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04EA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6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CB6F3A"/>
    <w:pPr>
      <w:spacing w:before="120" w:line="276" w:lineRule="auto"/>
      <w:ind w:left="1418" w:right="33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Heading3">
    <w:name w:val="heading 3"/>
    <w:basedOn w:val="Normal"/>
    <w:next w:val="Normal"/>
    <w:link w:val="Heading3Char"/>
    <w:qFormat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PageNumber">
    <w:name w:val="page number"/>
    <w:basedOn w:val="DefaultParagraphFont"/>
    <w:semiHidden/>
    <w:rPr>
      <w:rFonts w:ascii="Verdana" w:hAnsi="Verdana"/>
      <w:sz w:val="20"/>
    </w:rPr>
  </w:style>
  <w:style w:type="paragraph" w:styleId="BodyTextIndent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uiPriority w:val="99"/>
    <w:unhideWhenUsed/>
    <w:rsid w:val="002322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2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3224E"/>
    <w:rPr>
      <w:rFonts w:ascii="Calibri" w:eastAsia="Calibri" w:hAnsi="Calibri"/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24E"/>
    <w:rPr>
      <w:rFonts w:ascii="Calibri" w:eastAsia="Calibri" w:hAnsi="Calibri"/>
      <w:b/>
      <w:bCs/>
      <w:lang w:val="de-AT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DefaultParagraphFont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efaultParagraphFont"/>
    <w:rsid w:val="0037093F"/>
  </w:style>
  <w:style w:type="table" w:styleId="LightList-Accent1">
    <w:name w:val="Light List Accent 1"/>
    <w:basedOn w:val="TableNormal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FollowedHyperlink">
    <w:name w:val="FollowedHyperlink"/>
    <w:basedOn w:val="DefaultParagraphFont"/>
    <w:semiHidden/>
    <w:unhideWhenUsed/>
    <w:rsid w:val="005E328C"/>
    <w:rPr>
      <w:color w:val="BFBFBF" w:themeColor="followedHyperlink"/>
      <w:u w:val="single"/>
    </w:rPr>
  </w:style>
  <w:style w:type="paragraph" w:styleId="Re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ediumGrid3-Accent1">
    <w:name w:val="Medium Grid 3 Accent 1"/>
    <w:basedOn w:val="TableNormal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Bullet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Bullet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Heading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Heading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Heading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Heading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Heading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Heading3Char">
    <w:name w:val="Heading 3 Char"/>
    <w:basedOn w:val="DefaultParagraphFont"/>
    <w:link w:val="Heading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Heading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efaultParagraphFon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oSpacing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oSpacing">
    <w:name w:val="No Spacing"/>
    <w:link w:val="NoSpacingChar"/>
    <w:uiPriority w:val="1"/>
    <w:rsid w:val="007E62DC"/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ootnoteText">
    <w:name w:val="footnote text"/>
    <w:aliases w:val="Footnote,ESPON Footnote Text, Char1 Char,Footnote Char1,Char1 Char"/>
    <w:link w:val="FootnoteTextChar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ootnoteTextChar">
    <w:name w:val="Footnote Text Char"/>
    <w:aliases w:val="Footnote Char,ESPON Footnote Text Char, Char1 Char Char,Footnote Char1 Char,Char1 Char Char"/>
    <w:basedOn w:val="DefaultParagraphFont"/>
    <w:link w:val="Footnote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ootnoteReference">
    <w:name w:val="footnote reference"/>
    <w:aliases w:val="ESPON Footnote No"/>
    <w:basedOn w:val="DefaultParagraphFont"/>
    <w:uiPriority w:val="99"/>
    <w:unhideWhenUsed/>
    <w:rsid w:val="007E62D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rsid w:val="0085654A"/>
    <w:rPr>
      <w:rFonts w:ascii="Verdana" w:eastAsia="Calibri" w:hAnsi="Verdana"/>
      <w:szCs w:val="22"/>
    </w:rPr>
  </w:style>
  <w:style w:type="character" w:customStyle="1" w:styleId="ListParagraphChar">
    <w:name w:val="List Paragraph Char"/>
    <w:link w:val="ListParagraph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BodyText3">
    <w:name w:val="Body Text 3"/>
    <w:basedOn w:val="Normal"/>
    <w:link w:val="Body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Caption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Paragraph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Paragraph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Paragraph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arkList-Accent1">
    <w:name w:val="Dark List Accent 1"/>
    <w:basedOn w:val="TableNormal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Paragraph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ediumGrid3-Accent6">
    <w:name w:val="Medium Grid 3 Accent 6"/>
    <w:basedOn w:val="TableNormal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TableNormal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Heading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Heading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Heading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Heading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Heading2"/>
    <w:link w:val="HeadlineA1Char"/>
    <w:rsid w:val="000A739F"/>
    <w:rPr>
      <w:b w:val="0"/>
    </w:rPr>
  </w:style>
  <w:style w:type="character" w:customStyle="1" w:styleId="Headline1partChar">
    <w:name w:val="Headline 1 part Char"/>
    <w:basedOn w:val="Heading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Heading3"/>
    <w:rsid w:val="000A739F"/>
    <w:rPr>
      <w:b w:val="0"/>
    </w:rPr>
  </w:style>
  <w:style w:type="character" w:customStyle="1" w:styleId="HeadlineA1Char">
    <w:name w:val="Headline A1. Char"/>
    <w:basedOn w:val="Heading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Normal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TableNormal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BodyText2">
    <w:name w:val="Body Text 2"/>
    <w:basedOn w:val="Normal"/>
    <w:link w:val="Body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Heading2Char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Normal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efaultParagraphFon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efaultParagraphFon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efaultParagraphFon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efaultParagraphFon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1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QuoteChar">
    <w:name w:val="Quote Char"/>
    <w:aliases w:val="CE-Quotation Char"/>
    <w:basedOn w:val="DefaultParagraphFont"/>
    <w:link w:val="Quote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le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LightList">
    <w:name w:val="Light List"/>
    <w:basedOn w:val="TableNormal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numbering" w:customStyle="1" w:styleId="CE-Lists">
    <w:name w:val="CE-Lists"/>
    <w:uiPriority w:val="99"/>
    <w:rsid w:val="005D5F3A"/>
    <w:pPr>
      <w:numPr>
        <w:numId w:val="24"/>
      </w:numPr>
    </w:pPr>
  </w:style>
  <w:style w:type="paragraph" w:customStyle="1" w:styleId="Entry1withLine">
    <w:name w:val="Entry 1 with Line"/>
    <w:next w:val="Normal"/>
    <w:qFormat/>
    <w:rsid w:val="00690E98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Arial" w:eastAsia="Cambria" w:hAnsi="Arial"/>
      <w:color w:val="262727"/>
      <w:sz w:val="24"/>
      <w:szCs w:val="24"/>
      <w:lang w:val="de-DE"/>
    </w:rPr>
  </w:style>
  <w:style w:type="table" w:styleId="LightShading-Accent2">
    <w:name w:val="Light Shading Accent 2"/>
    <w:basedOn w:val="TableNormal"/>
    <w:uiPriority w:val="60"/>
    <w:rsid w:val="00690E98"/>
    <w:rPr>
      <w:color w:val="63858D" w:themeColor="accent2" w:themeShade="BF"/>
    </w:rPr>
    <w:tblPr>
      <w:tblStyleRowBandSize w:val="1"/>
      <w:tblStyleColBandSize w:val="1"/>
      <w:tblBorders>
        <w:top w:val="single" w:sz="8" w:space="0" w:color="90ABB1" w:themeColor="accent2"/>
        <w:bottom w:val="single" w:sz="8" w:space="0" w:color="90ABB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BB1" w:themeColor="accent2"/>
          <w:left w:val="nil"/>
          <w:bottom w:val="single" w:sz="8" w:space="0" w:color="90ABB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BB1" w:themeColor="accent2"/>
          <w:left w:val="nil"/>
          <w:bottom w:val="single" w:sz="8" w:space="0" w:color="90ABB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B" w:themeFill="accent2" w:themeFillTint="3F"/>
      </w:tcPr>
    </w:tblStylePr>
  </w:style>
  <w:style w:type="table" w:styleId="LightShading">
    <w:name w:val="Light Shading"/>
    <w:basedOn w:val="TableNormal"/>
    <w:uiPriority w:val="60"/>
    <w:rsid w:val="00690E98"/>
    <w:rPr>
      <w:color w:val="080808" w:themeColor="text1" w:themeShade="BF"/>
    </w:rPr>
    <w:tblPr>
      <w:tblStyleRowBandSize w:val="1"/>
      <w:tblStyleColBandSize w:val="1"/>
      <w:tblBorders>
        <w:top w:val="single" w:sz="8" w:space="0" w:color="0C0C0C" w:themeColor="text1"/>
        <w:bottom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90E98"/>
    <w:rPr>
      <w:color w:val="5D6867" w:themeColor="accent1" w:themeShade="BF"/>
    </w:rPr>
    <w:tblPr>
      <w:tblStyleRowBandSize w:val="1"/>
      <w:tblStyleColBandSize w:val="1"/>
      <w:tblBorders>
        <w:top w:val="single" w:sz="8" w:space="0" w:color="7D8B8A" w:themeColor="accent1"/>
        <w:bottom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B8A" w:themeColor="accent1"/>
          <w:left w:val="nil"/>
          <w:bottom w:val="single" w:sz="8" w:space="0" w:color="7D8B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B8A" w:themeColor="accent1"/>
          <w:left w:val="nil"/>
          <w:bottom w:val="single" w:sz="8" w:space="0" w:color="7D8B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2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37846"/>
  </w:style>
  <w:style w:type="paragraph" w:customStyle="1" w:styleId="Headline1">
    <w:name w:val="Headline 1"/>
    <w:next w:val="Normal"/>
    <w:rsid w:val="00937846"/>
    <w:rPr>
      <w:rFonts w:ascii="Helvetica" w:hAnsi="Helvetica" w:cs="Helvetica"/>
      <w:b/>
      <w:bCs/>
      <w:sz w:val="40"/>
      <w:szCs w:val="40"/>
      <w:lang w:eastAsia="de-DE"/>
    </w:rPr>
  </w:style>
  <w:style w:type="paragraph" w:customStyle="1" w:styleId="Text">
    <w:name w:val="Text"/>
    <w:rsid w:val="00937846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basedOn w:val="Head1Line"/>
    <w:rsid w:val="00937846"/>
  </w:style>
  <w:style w:type="paragraph" w:customStyle="1" w:styleId="Head1Line">
    <w:name w:val="Head 1. Line"/>
    <w:rsid w:val="00937846"/>
    <w:pPr>
      <w:tabs>
        <w:tab w:val="left" w:pos="1418"/>
      </w:tabs>
    </w:pPr>
    <w:rPr>
      <w:rFonts w:ascii="Helvetica" w:hAnsi="Helvetica" w:cs="Helvetica"/>
      <w:noProof/>
      <w:sz w:val="19"/>
      <w:szCs w:val="19"/>
      <w:lang w:eastAsia="de-DE"/>
    </w:rPr>
  </w:style>
  <w:style w:type="paragraph" w:customStyle="1" w:styleId="Headline">
    <w:name w:val="Headline"/>
    <w:basedOn w:val="Head1Line"/>
    <w:next w:val="Normal"/>
    <w:rsid w:val="00937846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DateandVenue">
    <w:name w:val="Date and Venue"/>
    <w:next w:val="Normal"/>
    <w:autoRedefine/>
    <w:qFormat/>
    <w:rsid w:val="00937846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/>
    </w:rPr>
  </w:style>
  <w:style w:type="paragraph" w:customStyle="1" w:styleId="Entry1">
    <w:name w:val="Entry 1"/>
    <w:next w:val="Normal"/>
    <w:qFormat/>
    <w:rsid w:val="00937846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/>
    </w:rPr>
  </w:style>
  <w:style w:type="paragraph" w:customStyle="1" w:styleId="NameofEvent">
    <w:name w:val="Name of Event"/>
    <w:next w:val="Normal"/>
    <w:qFormat/>
    <w:rsid w:val="00937846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/>
    </w:rPr>
  </w:style>
  <w:style w:type="paragraph" w:customStyle="1" w:styleId="NameofEventDate">
    <w:name w:val="Name of Event Date"/>
    <w:qFormat/>
    <w:rsid w:val="00937846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7846"/>
    <w:pPr>
      <w:spacing w:before="0" w:after="200" w:line="240" w:lineRule="auto"/>
      <w:ind w:left="0" w:right="0"/>
      <w:jc w:val="left"/>
    </w:pPr>
    <w:rPr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7846"/>
    <w:rPr>
      <w:lang w:val="en-GB" w:eastAsia="x-none"/>
    </w:rPr>
  </w:style>
  <w:style w:type="character" w:styleId="EndnoteReference">
    <w:name w:val="endnote reference"/>
    <w:uiPriority w:val="99"/>
    <w:semiHidden/>
    <w:unhideWhenUsed/>
    <w:rsid w:val="00937846"/>
    <w:rPr>
      <w:vertAlign w:val="superscript"/>
    </w:rPr>
  </w:style>
  <w:style w:type="paragraph" w:customStyle="1" w:styleId="BulletNormal">
    <w:name w:val="Bullet Normal"/>
    <w:rsid w:val="00937846"/>
    <w:pPr>
      <w:numPr>
        <w:numId w:val="25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937846"/>
    <w:rPr>
      <w:rFonts w:ascii="Verdana" w:hAnsi="Verdana" w:cs="Arial"/>
    </w:rPr>
  </w:style>
  <w:style w:type="character" w:customStyle="1" w:styleId="apple-style-span">
    <w:name w:val="apple-style-span"/>
    <w:basedOn w:val="DefaultParagraphFont"/>
    <w:rsid w:val="00937846"/>
  </w:style>
  <w:style w:type="character" w:styleId="Strong">
    <w:name w:val="Strong"/>
    <w:uiPriority w:val="22"/>
    <w:qFormat/>
    <w:rsid w:val="00937846"/>
    <w:rPr>
      <w:b/>
      <w:bCs/>
    </w:rPr>
  </w:style>
  <w:style w:type="character" w:customStyle="1" w:styleId="apple-converted-space">
    <w:name w:val="apple-converted-space"/>
    <w:basedOn w:val="DefaultParagraphFont"/>
    <w:rsid w:val="00937846"/>
  </w:style>
  <w:style w:type="paragraph" w:customStyle="1" w:styleId="StyleHeading310pt">
    <w:name w:val="Style Heading 3 + 10 pt"/>
    <w:basedOn w:val="Heading3"/>
    <w:rsid w:val="00937846"/>
    <w:pPr>
      <w:keepLines w:val="0"/>
      <w:numPr>
        <w:ilvl w:val="2"/>
        <w:numId w:val="0"/>
      </w:numPr>
      <w:tabs>
        <w:tab w:val="num" w:pos="720"/>
      </w:tabs>
      <w:spacing w:before="0"/>
      <w:ind w:left="720" w:right="0" w:hanging="720"/>
      <w:jc w:val="left"/>
    </w:pPr>
    <w:rPr>
      <w:rFonts w:ascii="Trebuchet MS" w:eastAsia="Cambria" w:hAnsi="Trebuchet MS" w:cs="Arial"/>
      <w:bCs/>
      <w:color w:val="D60093"/>
      <w:sz w:val="22"/>
      <w:szCs w:val="28"/>
      <w:lang w:val="en-GB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937846"/>
    <w:pPr>
      <w:spacing w:before="0" w:line="240" w:lineRule="auto"/>
      <w:ind w:left="720" w:right="0"/>
      <w:contextualSpacing/>
      <w:jc w:val="left"/>
    </w:pPr>
    <w:rPr>
      <w:rFonts w:ascii="Trebuchet MS" w:hAnsi="Trebuchet MS"/>
      <w:szCs w:val="24"/>
      <w:lang w:val="de-DE" w:eastAsia="de-DE"/>
    </w:rPr>
  </w:style>
  <w:style w:type="character" w:customStyle="1" w:styleId="AkapitzlistZnak">
    <w:name w:val="Akapit z listą Znak"/>
    <w:link w:val="Akapitzlist"/>
    <w:uiPriority w:val="34"/>
    <w:rsid w:val="00937846"/>
    <w:rPr>
      <w:rFonts w:ascii="Trebuchet MS" w:hAnsi="Trebuchet MS"/>
      <w:szCs w:val="24"/>
      <w:lang w:val="de-DE" w:eastAsia="de-DE"/>
    </w:rPr>
  </w:style>
  <w:style w:type="paragraph" w:customStyle="1" w:styleId="Subheading">
    <w:name w:val="Sub heading"/>
    <w:basedOn w:val="Normal"/>
    <w:link w:val="SubheadingChar"/>
    <w:qFormat/>
    <w:rsid w:val="00937846"/>
    <w:pPr>
      <w:numPr>
        <w:numId w:val="26"/>
      </w:numPr>
      <w:spacing w:before="240" w:after="120" w:line="240" w:lineRule="auto"/>
      <w:ind w:right="0"/>
      <w:jc w:val="left"/>
    </w:pPr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SubheadingChar">
    <w:name w:val="Sub heading Char"/>
    <w:link w:val="Subheading"/>
    <w:rsid w:val="00937846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Heading4Char">
    <w:name w:val="Heading 4 Char"/>
    <w:link w:val="Heading4"/>
    <w:uiPriority w:val="9"/>
    <w:rsid w:val="00937846"/>
    <w:rPr>
      <w:rFonts w:ascii="Verdana" w:hAnsi="Verdana"/>
      <w:b/>
      <w:bCs/>
    </w:rPr>
  </w:style>
  <w:style w:type="character" w:customStyle="1" w:styleId="Heading5Char">
    <w:name w:val="Heading 5 Char"/>
    <w:link w:val="Heading5"/>
    <w:uiPriority w:val="9"/>
    <w:rsid w:val="00937846"/>
    <w:rPr>
      <w:rFonts w:ascii="Verdana" w:hAnsi="Verdana"/>
      <w:b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937846"/>
    <w:rPr>
      <w:rFonts w:ascii="Verdana" w:hAnsi="Verdana"/>
      <w:b/>
      <w:bCs/>
    </w:rPr>
  </w:style>
  <w:style w:type="character" w:customStyle="1" w:styleId="Heading7Char">
    <w:name w:val="Heading 7 Char"/>
    <w:link w:val="Heading7"/>
    <w:uiPriority w:val="9"/>
    <w:rsid w:val="00937846"/>
    <w:rPr>
      <w:rFonts w:ascii="Verdana" w:hAnsi="Verdana"/>
    </w:rPr>
  </w:style>
  <w:style w:type="character" w:customStyle="1" w:styleId="Heading8Char">
    <w:name w:val="Heading 8 Char"/>
    <w:link w:val="Heading8"/>
    <w:uiPriority w:val="9"/>
    <w:rsid w:val="00937846"/>
    <w:rPr>
      <w:rFonts w:ascii="Verdana" w:hAnsi="Verdana"/>
      <w:i/>
      <w:iCs/>
    </w:rPr>
  </w:style>
  <w:style w:type="paragraph" w:customStyle="1" w:styleId="Poprawka">
    <w:name w:val="Poprawka"/>
    <w:hidden/>
    <w:uiPriority w:val="71"/>
    <w:rsid w:val="00937846"/>
    <w:rPr>
      <w:rFonts w:ascii="Trebuchet MS" w:eastAsia="Cambria" w:hAnsi="Trebuchet MS"/>
      <w:sz w:val="24"/>
      <w:szCs w:val="24"/>
      <w:lang w:val="de-DE"/>
    </w:rPr>
  </w:style>
  <w:style w:type="paragraph" w:customStyle="1" w:styleId="DefaultText">
    <w:name w:val="Default Text"/>
    <w:basedOn w:val="Normal"/>
    <w:rsid w:val="00937846"/>
    <w:pPr>
      <w:spacing w:before="0" w:line="240" w:lineRule="auto"/>
      <w:ind w:left="0" w:right="0"/>
      <w:jc w:val="left"/>
    </w:pPr>
    <w:rPr>
      <w:rFonts w:ascii="Tms Rmn" w:hAnsi="Tms Rmn" w:cs="Tms Rmn"/>
      <w:sz w:val="24"/>
      <w:lang w:val="en-US"/>
    </w:rPr>
  </w:style>
  <w:style w:type="character" w:customStyle="1" w:styleId="highlight">
    <w:name w:val="highlight"/>
    <w:rsid w:val="00937846"/>
  </w:style>
  <w:style w:type="paragraph" w:customStyle="1" w:styleId="CM1">
    <w:name w:val="CM1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table" w:customStyle="1" w:styleId="PlainTable51">
    <w:name w:val="Plain Table 51"/>
    <w:basedOn w:val="TableNormal"/>
    <w:uiPriority w:val="45"/>
    <w:rsid w:val="009378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858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858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858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858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378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37846"/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378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858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37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CB6F3A"/>
    <w:pPr>
      <w:spacing w:before="120" w:line="276" w:lineRule="auto"/>
      <w:ind w:left="1418" w:right="33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Heading3">
    <w:name w:val="heading 3"/>
    <w:basedOn w:val="Normal"/>
    <w:next w:val="Normal"/>
    <w:link w:val="Heading3Char"/>
    <w:qFormat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PageNumber">
    <w:name w:val="page number"/>
    <w:basedOn w:val="DefaultParagraphFont"/>
    <w:semiHidden/>
    <w:rPr>
      <w:rFonts w:ascii="Verdana" w:hAnsi="Verdana"/>
      <w:sz w:val="20"/>
    </w:rPr>
  </w:style>
  <w:style w:type="paragraph" w:styleId="BodyTextIndent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uiPriority w:val="99"/>
    <w:unhideWhenUsed/>
    <w:rsid w:val="002322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2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3224E"/>
    <w:rPr>
      <w:rFonts w:ascii="Calibri" w:eastAsia="Calibri" w:hAnsi="Calibri"/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24E"/>
    <w:rPr>
      <w:rFonts w:ascii="Calibri" w:eastAsia="Calibri" w:hAnsi="Calibri"/>
      <w:b/>
      <w:bCs/>
      <w:lang w:val="de-AT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DefaultParagraphFont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efaultParagraphFont"/>
    <w:rsid w:val="0037093F"/>
  </w:style>
  <w:style w:type="table" w:styleId="LightList-Accent1">
    <w:name w:val="Light List Accent 1"/>
    <w:basedOn w:val="TableNormal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FollowedHyperlink">
    <w:name w:val="FollowedHyperlink"/>
    <w:basedOn w:val="DefaultParagraphFont"/>
    <w:semiHidden/>
    <w:unhideWhenUsed/>
    <w:rsid w:val="005E328C"/>
    <w:rPr>
      <w:color w:val="BFBFBF" w:themeColor="followedHyperlink"/>
      <w:u w:val="single"/>
    </w:rPr>
  </w:style>
  <w:style w:type="paragraph" w:styleId="Re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ediumGrid3-Accent1">
    <w:name w:val="Medium Grid 3 Accent 1"/>
    <w:basedOn w:val="TableNormal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Bullet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Bullet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Heading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Heading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Heading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Heading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Heading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Heading3Char">
    <w:name w:val="Heading 3 Char"/>
    <w:basedOn w:val="DefaultParagraphFont"/>
    <w:link w:val="Heading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Heading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efaultParagraphFon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oSpacing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oSpacing">
    <w:name w:val="No Spacing"/>
    <w:link w:val="NoSpacingChar"/>
    <w:uiPriority w:val="1"/>
    <w:rsid w:val="007E62DC"/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ootnoteText">
    <w:name w:val="footnote text"/>
    <w:aliases w:val="Footnote,ESPON Footnote Text, Char1 Char,Footnote Char1,Char1 Char"/>
    <w:link w:val="FootnoteTextChar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ootnoteTextChar">
    <w:name w:val="Footnote Text Char"/>
    <w:aliases w:val="Footnote Char,ESPON Footnote Text Char, Char1 Char Char,Footnote Char1 Char,Char1 Char Char"/>
    <w:basedOn w:val="DefaultParagraphFont"/>
    <w:link w:val="Footnote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ootnoteReference">
    <w:name w:val="footnote reference"/>
    <w:aliases w:val="ESPON Footnote No"/>
    <w:basedOn w:val="DefaultParagraphFont"/>
    <w:uiPriority w:val="99"/>
    <w:unhideWhenUsed/>
    <w:rsid w:val="007E62D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rsid w:val="0085654A"/>
    <w:rPr>
      <w:rFonts w:ascii="Verdana" w:eastAsia="Calibri" w:hAnsi="Verdana"/>
      <w:szCs w:val="22"/>
    </w:rPr>
  </w:style>
  <w:style w:type="character" w:customStyle="1" w:styleId="ListParagraphChar">
    <w:name w:val="List Paragraph Char"/>
    <w:link w:val="ListParagraph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BodyText3">
    <w:name w:val="Body Text 3"/>
    <w:basedOn w:val="Normal"/>
    <w:link w:val="Body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Caption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Paragraph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Paragraph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Paragraph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arkList-Accent1">
    <w:name w:val="Dark List Accent 1"/>
    <w:basedOn w:val="TableNormal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Paragraph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ediumGrid3-Accent6">
    <w:name w:val="Medium Grid 3 Accent 6"/>
    <w:basedOn w:val="TableNormal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TableNormal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Heading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Heading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Heading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Heading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Heading2"/>
    <w:link w:val="HeadlineA1Char"/>
    <w:rsid w:val="000A739F"/>
    <w:rPr>
      <w:b w:val="0"/>
    </w:rPr>
  </w:style>
  <w:style w:type="character" w:customStyle="1" w:styleId="Headline1partChar">
    <w:name w:val="Headline 1 part Char"/>
    <w:basedOn w:val="Heading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Heading3"/>
    <w:rsid w:val="000A739F"/>
    <w:rPr>
      <w:b w:val="0"/>
    </w:rPr>
  </w:style>
  <w:style w:type="character" w:customStyle="1" w:styleId="HeadlineA1Char">
    <w:name w:val="Headline A1. Char"/>
    <w:basedOn w:val="Heading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Normal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TableNormal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BodyText2">
    <w:name w:val="Body Text 2"/>
    <w:basedOn w:val="Normal"/>
    <w:link w:val="Body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Heading2Char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Normal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efaultParagraphFon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efaultParagraphFon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efaultParagraphFon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efaultParagraphFon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1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QuoteChar">
    <w:name w:val="Quote Char"/>
    <w:aliases w:val="CE-Quotation Char"/>
    <w:basedOn w:val="DefaultParagraphFont"/>
    <w:link w:val="Quote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le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LightList">
    <w:name w:val="Light List"/>
    <w:basedOn w:val="TableNormal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numbering" w:customStyle="1" w:styleId="CE-Lists">
    <w:name w:val="CE-Lists"/>
    <w:uiPriority w:val="99"/>
    <w:rsid w:val="005D5F3A"/>
    <w:pPr>
      <w:numPr>
        <w:numId w:val="24"/>
      </w:numPr>
    </w:pPr>
  </w:style>
  <w:style w:type="paragraph" w:customStyle="1" w:styleId="Entry1withLine">
    <w:name w:val="Entry 1 with Line"/>
    <w:next w:val="Normal"/>
    <w:qFormat/>
    <w:rsid w:val="00690E98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Arial" w:eastAsia="Cambria" w:hAnsi="Arial"/>
      <w:color w:val="262727"/>
      <w:sz w:val="24"/>
      <w:szCs w:val="24"/>
      <w:lang w:val="de-DE"/>
    </w:rPr>
  </w:style>
  <w:style w:type="table" w:styleId="LightShading-Accent2">
    <w:name w:val="Light Shading Accent 2"/>
    <w:basedOn w:val="TableNormal"/>
    <w:uiPriority w:val="60"/>
    <w:rsid w:val="00690E98"/>
    <w:rPr>
      <w:color w:val="63858D" w:themeColor="accent2" w:themeShade="BF"/>
    </w:rPr>
    <w:tblPr>
      <w:tblStyleRowBandSize w:val="1"/>
      <w:tblStyleColBandSize w:val="1"/>
      <w:tblBorders>
        <w:top w:val="single" w:sz="8" w:space="0" w:color="90ABB1" w:themeColor="accent2"/>
        <w:bottom w:val="single" w:sz="8" w:space="0" w:color="90ABB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BB1" w:themeColor="accent2"/>
          <w:left w:val="nil"/>
          <w:bottom w:val="single" w:sz="8" w:space="0" w:color="90ABB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BB1" w:themeColor="accent2"/>
          <w:left w:val="nil"/>
          <w:bottom w:val="single" w:sz="8" w:space="0" w:color="90ABB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B" w:themeFill="accent2" w:themeFillTint="3F"/>
      </w:tcPr>
    </w:tblStylePr>
  </w:style>
  <w:style w:type="table" w:styleId="LightShading">
    <w:name w:val="Light Shading"/>
    <w:basedOn w:val="TableNormal"/>
    <w:uiPriority w:val="60"/>
    <w:rsid w:val="00690E98"/>
    <w:rPr>
      <w:color w:val="080808" w:themeColor="text1" w:themeShade="BF"/>
    </w:rPr>
    <w:tblPr>
      <w:tblStyleRowBandSize w:val="1"/>
      <w:tblStyleColBandSize w:val="1"/>
      <w:tblBorders>
        <w:top w:val="single" w:sz="8" w:space="0" w:color="0C0C0C" w:themeColor="text1"/>
        <w:bottom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90E98"/>
    <w:rPr>
      <w:color w:val="5D6867" w:themeColor="accent1" w:themeShade="BF"/>
    </w:rPr>
    <w:tblPr>
      <w:tblStyleRowBandSize w:val="1"/>
      <w:tblStyleColBandSize w:val="1"/>
      <w:tblBorders>
        <w:top w:val="single" w:sz="8" w:space="0" w:color="7D8B8A" w:themeColor="accent1"/>
        <w:bottom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B8A" w:themeColor="accent1"/>
          <w:left w:val="nil"/>
          <w:bottom w:val="single" w:sz="8" w:space="0" w:color="7D8B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B8A" w:themeColor="accent1"/>
          <w:left w:val="nil"/>
          <w:bottom w:val="single" w:sz="8" w:space="0" w:color="7D8B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2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37846"/>
  </w:style>
  <w:style w:type="paragraph" w:customStyle="1" w:styleId="Headline1">
    <w:name w:val="Headline 1"/>
    <w:next w:val="Normal"/>
    <w:rsid w:val="00937846"/>
    <w:rPr>
      <w:rFonts w:ascii="Helvetica" w:hAnsi="Helvetica" w:cs="Helvetica"/>
      <w:b/>
      <w:bCs/>
      <w:sz w:val="40"/>
      <w:szCs w:val="40"/>
      <w:lang w:eastAsia="de-DE"/>
    </w:rPr>
  </w:style>
  <w:style w:type="paragraph" w:customStyle="1" w:styleId="Text">
    <w:name w:val="Text"/>
    <w:rsid w:val="00937846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basedOn w:val="Head1Line"/>
    <w:rsid w:val="00937846"/>
  </w:style>
  <w:style w:type="paragraph" w:customStyle="1" w:styleId="Head1Line">
    <w:name w:val="Head 1. Line"/>
    <w:rsid w:val="00937846"/>
    <w:pPr>
      <w:tabs>
        <w:tab w:val="left" w:pos="1418"/>
      </w:tabs>
    </w:pPr>
    <w:rPr>
      <w:rFonts w:ascii="Helvetica" w:hAnsi="Helvetica" w:cs="Helvetica"/>
      <w:noProof/>
      <w:sz w:val="19"/>
      <w:szCs w:val="19"/>
      <w:lang w:eastAsia="de-DE"/>
    </w:rPr>
  </w:style>
  <w:style w:type="paragraph" w:customStyle="1" w:styleId="Headline">
    <w:name w:val="Headline"/>
    <w:basedOn w:val="Head1Line"/>
    <w:next w:val="Normal"/>
    <w:rsid w:val="00937846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DateandVenue">
    <w:name w:val="Date and Venue"/>
    <w:next w:val="Normal"/>
    <w:autoRedefine/>
    <w:qFormat/>
    <w:rsid w:val="00937846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/>
    </w:rPr>
  </w:style>
  <w:style w:type="paragraph" w:customStyle="1" w:styleId="Entry1">
    <w:name w:val="Entry 1"/>
    <w:next w:val="Normal"/>
    <w:qFormat/>
    <w:rsid w:val="00937846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/>
    </w:rPr>
  </w:style>
  <w:style w:type="paragraph" w:customStyle="1" w:styleId="NameofEvent">
    <w:name w:val="Name of Event"/>
    <w:next w:val="Normal"/>
    <w:qFormat/>
    <w:rsid w:val="00937846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/>
    </w:rPr>
  </w:style>
  <w:style w:type="paragraph" w:customStyle="1" w:styleId="NameofEventDate">
    <w:name w:val="Name of Event Date"/>
    <w:qFormat/>
    <w:rsid w:val="00937846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7846"/>
    <w:pPr>
      <w:spacing w:before="0" w:after="200" w:line="240" w:lineRule="auto"/>
      <w:ind w:left="0" w:right="0"/>
      <w:jc w:val="left"/>
    </w:pPr>
    <w:rPr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7846"/>
    <w:rPr>
      <w:lang w:val="en-GB" w:eastAsia="x-none"/>
    </w:rPr>
  </w:style>
  <w:style w:type="character" w:styleId="EndnoteReference">
    <w:name w:val="endnote reference"/>
    <w:uiPriority w:val="99"/>
    <w:semiHidden/>
    <w:unhideWhenUsed/>
    <w:rsid w:val="00937846"/>
    <w:rPr>
      <w:vertAlign w:val="superscript"/>
    </w:rPr>
  </w:style>
  <w:style w:type="paragraph" w:customStyle="1" w:styleId="BulletNormal">
    <w:name w:val="Bullet Normal"/>
    <w:rsid w:val="00937846"/>
    <w:pPr>
      <w:numPr>
        <w:numId w:val="25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937846"/>
    <w:rPr>
      <w:rFonts w:ascii="Verdana" w:hAnsi="Verdana" w:cs="Arial"/>
    </w:rPr>
  </w:style>
  <w:style w:type="character" w:customStyle="1" w:styleId="apple-style-span">
    <w:name w:val="apple-style-span"/>
    <w:basedOn w:val="DefaultParagraphFont"/>
    <w:rsid w:val="00937846"/>
  </w:style>
  <w:style w:type="character" w:styleId="Strong">
    <w:name w:val="Strong"/>
    <w:uiPriority w:val="22"/>
    <w:qFormat/>
    <w:rsid w:val="00937846"/>
    <w:rPr>
      <w:b/>
      <w:bCs/>
    </w:rPr>
  </w:style>
  <w:style w:type="character" w:customStyle="1" w:styleId="apple-converted-space">
    <w:name w:val="apple-converted-space"/>
    <w:basedOn w:val="DefaultParagraphFont"/>
    <w:rsid w:val="00937846"/>
  </w:style>
  <w:style w:type="paragraph" w:customStyle="1" w:styleId="StyleHeading310pt">
    <w:name w:val="Style Heading 3 + 10 pt"/>
    <w:basedOn w:val="Heading3"/>
    <w:rsid w:val="00937846"/>
    <w:pPr>
      <w:keepLines w:val="0"/>
      <w:numPr>
        <w:ilvl w:val="2"/>
        <w:numId w:val="0"/>
      </w:numPr>
      <w:tabs>
        <w:tab w:val="num" w:pos="720"/>
      </w:tabs>
      <w:spacing w:before="0"/>
      <w:ind w:left="720" w:right="0" w:hanging="720"/>
      <w:jc w:val="left"/>
    </w:pPr>
    <w:rPr>
      <w:rFonts w:ascii="Trebuchet MS" w:eastAsia="Cambria" w:hAnsi="Trebuchet MS" w:cs="Arial"/>
      <w:bCs/>
      <w:color w:val="D60093"/>
      <w:sz w:val="22"/>
      <w:szCs w:val="28"/>
      <w:lang w:val="en-GB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937846"/>
    <w:pPr>
      <w:spacing w:before="0" w:line="240" w:lineRule="auto"/>
      <w:ind w:left="720" w:right="0"/>
      <w:contextualSpacing/>
      <w:jc w:val="left"/>
    </w:pPr>
    <w:rPr>
      <w:rFonts w:ascii="Trebuchet MS" w:hAnsi="Trebuchet MS"/>
      <w:szCs w:val="24"/>
      <w:lang w:val="de-DE" w:eastAsia="de-DE"/>
    </w:rPr>
  </w:style>
  <w:style w:type="character" w:customStyle="1" w:styleId="AkapitzlistZnak">
    <w:name w:val="Akapit z listą Znak"/>
    <w:link w:val="Akapitzlist"/>
    <w:uiPriority w:val="34"/>
    <w:rsid w:val="00937846"/>
    <w:rPr>
      <w:rFonts w:ascii="Trebuchet MS" w:hAnsi="Trebuchet MS"/>
      <w:szCs w:val="24"/>
      <w:lang w:val="de-DE" w:eastAsia="de-DE"/>
    </w:rPr>
  </w:style>
  <w:style w:type="paragraph" w:customStyle="1" w:styleId="Subheading">
    <w:name w:val="Sub heading"/>
    <w:basedOn w:val="Normal"/>
    <w:link w:val="SubheadingChar"/>
    <w:qFormat/>
    <w:rsid w:val="00937846"/>
    <w:pPr>
      <w:numPr>
        <w:numId w:val="26"/>
      </w:numPr>
      <w:spacing w:before="240" w:after="120" w:line="240" w:lineRule="auto"/>
      <w:ind w:right="0"/>
      <w:jc w:val="left"/>
    </w:pPr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SubheadingChar">
    <w:name w:val="Sub heading Char"/>
    <w:link w:val="Subheading"/>
    <w:rsid w:val="00937846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Heading4Char">
    <w:name w:val="Heading 4 Char"/>
    <w:link w:val="Heading4"/>
    <w:uiPriority w:val="9"/>
    <w:rsid w:val="00937846"/>
    <w:rPr>
      <w:rFonts w:ascii="Verdana" w:hAnsi="Verdana"/>
      <w:b/>
      <w:bCs/>
    </w:rPr>
  </w:style>
  <w:style w:type="character" w:customStyle="1" w:styleId="Heading5Char">
    <w:name w:val="Heading 5 Char"/>
    <w:link w:val="Heading5"/>
    <w:uiPriority w:val="9"/>
    <w:rsid w:val="00937846"/>
    <w:rPr>
      <w:rFonts w:ascii="Verdana" w:hAnsi="Verdana"/>
      <w:b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937846"/>
    <w:rPr>
      <w:rFonts w:ascii="Verdana" w:hAnsi="Verdana"/>
      <w:b/>
      <w:bCs/>
    </w:rPr>
  </w:style>
  <w:style w:type="character" w:customStyle="1" w:styleId="Heading7Char">
    <w:name w:val="Heading 7 Char"/>
    <w:link w:val="Heading7"/>
    <w:uiPriority w:val="9"/>
    <w:rsid w:val="00937846"/>
    <w:rPr>
      <w:rFonts w:ascii="Verdana" w:hAnsi="Verdana"/>
    </w:rPr>
  </w:style>
  <w:style w:type="character" w:customStyle="1" w:styleId="Heading8Char">
    <w:name w:val="Heading 8 Char"/>
    <w:link w:val="Heading8"/>
    <w:uiPriority w:val="9"/>
    <w:rsid w:val="00937846"/>
    <w:rPr>
      <w:rFonts w:ascii="Verdana" w:hAnsi="Verdana"/>
      <w:i/>
      <w:iCs/>
    </w:rPr>
  </w:style>
  <w:style w:type="paragraph" w:customStyle="1" w:styleId="Poprawka">
    <w:name w:val="Poprawka"/>
    <w:hidden/>
    <w:uiPriority w:val="71"/>
    <w:rsid w:val="00937846"/>
    <w:rPr>
      <w:rFonts w:ascii="Trebuchet MS" w:eastAsia="Cambria" w:hAnsi="Trebuchet MS"/>
      <w:sz w:val="24"/>
      <w:szCs w:val="24"/>
      <w:lang w:val="de-DE"/>
    </w:rPr>
  </w:style>
  <w:style w:type="paragraph" w:customStyle="1" w:styleId="DefaultText">
    <w:name w:val="Default Text"/>
    <w:basedOn w:val="Normal"/>
    <w:rsid w:val="00937846"/>
    <w:pPr>
      <w:spacing w:before="0" w:line="240" w:lineRule="auto"/>
      <w:ind w:left="0" w:right="0"/>
      <w:jc w:val="left"/>
    </w:pPr>
    <w:rPr>
      <w:rFonts w:ascii="Tms Rmn" w:hAnsi="Tms Rmn" w:cs="Tms Rmn"/>
      <w:sz w:val="24"/>
      <w:lang w:val="en-US"/>
    </w:rPr>
  </w:style>
  <w:style w:type="character" w:customStyle="1" w:styleId="highlight">
    <w:name w:val="highlight"/>
    <w:rsid w:val="00937846"/>
  </w:style>
  <w:style w:type="paragraph" w:customStyle="1" w:styleId="CM1">
    <w:name w:val="CM1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937846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EUAlbertina" w:hAnsi="EUAlbertina"/>
      <w:sz w:val="24"/>
      <w:szCs w:val="24"/>
      <w:lang w:val="en-US"/>
    </w:rPr>
  </w:style>
  <w:style w:type="table" w:customStyle="1" w:styleId="PlainTable51">
    <w:name w:val="Plain Table 51"/>
    <w:basedOn w:val="TableNormal"/>
    <w:uiPriority w:val="45"/>
    <w:rsid w:val="009378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858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858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858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858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378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37846"/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378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858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37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09F2-7B48-4C8B-ADCC-A1C36C9F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Hanzelova Katarina</dc:creator>
  <cp:lastModifiedBy>Portelli Helga</cp:lastModifiedBy>
  <cp:revision>27</cp:revision>
  <cp:lastPrinted>2016-06-17T08:45:00Z</cp:lastPrinted>
  <dcterms:created xsi:type="dcterms:W3CDTF">2016-08-22T09:09:00Z</dcterms:created>
  <dcterms:modified xsi:type="dcterms:W3CDTF">2016-12-21T09:25:00Z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